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D328CF" w14:textId="77777777" w:rsidR="008D44D5" w:rsidRPr="005F416F" w:rsidRDefault="008D44D5" w:rsidP="00E25AD2">
      <w:pPr>
        <w:pStyle w:val="CoversheetStaticText"/>
        <w:rPr>
          <w:sz w:val="24"/>
        </w:rPr>
      </w:pPr>
      <w:r w:rsidRPr="005F416F">
        <w:rPr>
          <w:sz w:val="24"/>
        </w:rPr>
        <w:t>DATED</w:t>
      </w:r>
    </w:p>
    <w:p w14:paraId="0CD15163" w14:textId="77777777" w:rsidR="008D44D5" w:rsidRPr="005F416F" w:rsidRDefault="008D44D5" w:rsidP="00E25AD2">
      <w:pPr>
        <w:pStyle w:val="CoversheetStaticText"/>
        <w:rPr>
          <w:b/>
          <w:sz w:val="24"/>
        </w:rPr>
      </w:pPr>
      <w:r w:rsidRPr="005F416F">
        <w:rPr>
          <w:sz w:val="24"/>
        </w:rPr>
        <w:t>------------</w:t>
      </w:r>
    </w:p>
    <w:p w14:paraId="552C01AE" w14:textId="691AE7C2" w:rsidR="008D44D5" w:rsidRPr="005F416F" w:rsidRDefault="008D44D5" w:rsidP="00E25AD2">
      <w:pPr>
        <w:pStyle w:val="CoversheetTitle"/>
      </w:pPr>
      <w:r w:rsidRPr="005F416F">
        <w:t xml:space="preserve">Confidentiality agreement </w:t>
      </w:r>
    </w:p>
    <w:p w14:paraId="14494B54" w14:textId="06E6F0E3" w:rsidR="008D44D5" w:rsidRPr="005F416F" w:rsidRDefault="008D44D5" w:rsidP="00E25AD2">
      <w:pPr>
        <w:pStyle w:val="CoversheetStaticText"/>
        <w:rPr>
          <w:sz w:val="24"/>
        </w:rPr>
      </w:pPr>
      <w:r w:rsidRPr="005F416F">
        <w:rPr>
          <w:sz w:val="24"/>
        </w:rPr>
        <w:t>between</w:t>
      </w:r>
    </w:p>
    <w:p w14:paraId="5ADB8432" w14:textId="66941646" w:rsidR="008D44D5" w:rsidRPr="005F416F" w:rsidRDefault="008D44D5" w:rsidP="00E25AD2">
      <w:pPr>
        <w:pStyle w:val="CoversheetParty"/>
        <w:rPr>
          <w:sz w:val="24"/>
        </w:rPr>
      </w:pPr>
      <w:r w:rsidRPr="005F416F">
        <w:rPr>
          <w:sz w:val="24"/>
        </w:rPr>
        <w:t>Party 1</w:t>
      </w:r>
      <w:r w:rsidR="00206BBE" w:rsidRPr="005F416F">
        <w:rPr>
          <w:sz w:val="24"/>
        </w:rPr>
        <w:t>:</w:t>
      </w:r>
      <w:r w:rsidR="00150268">
        <w:rPr>
          <w:sz w:val="24"/>
        </w:rPr>
        <w:t xml:space="preserve"> [    ]</w:t>
      </w:r>
    </w:p>
    <w:p w14:paraId="326B5239" w14:textId="77777777" w:rsidR="008D44D5" w:rsidRPr="005F416F" w:rsidRDefault="008D44D5" w:rsidP="00E25AD2">
      <w:pPr>
        <w:pStyle w:val="CoversheetStaticText"/>
        <w:rPr>
          <w:sz w:val="24"/>
        </w:rPr>
      </w:pPr>
      <w:r w:rsidRPr="005F416F">
        <w:rPr>
          <w:sz w:val="24"/>
        </w:rPr>
        <w:t>and</w:t>
      </w:r>
    </w:p>
    <w:p w14:paraId="5A3E294D" w14:textId="2E3AF6AE" w:rsidR="008D44D5" w:rsidRPr="005F416F" w:rsidRDefault="008D44D5" w:rsidP="00E25AD2">
      <w:pPr>
        <w:pStyle w:val="CoversheetParty"/>
        <w:rPr>
          <w:sz w:val="24"/>
        </w:rPr>
        <w:sectPr w:rsidR="008D44D5" w:rsidRPr="005F416F" w:rsidSect="00590645">
          <w:headerReference w:type="even" r:id="rId11"/>
          <w:headerReference w:type="default" r:id="rId12"/>
          <w:footerReference w:type="even" r:id="rId13"/>
          <w:footerReference w:type="default" r:id="rId14"/>
          <w:headerReference w:type="first" r:id="rId15"/>
          <w:footerReference w:type="first" r:id="rId16"/>
          <w:pgSz w:w="12240" w:h="15840"/>
          <w:pgMar w:top="1440" w:right="1440" w:bottom="1440" w:left="1440" w:header="720" w:footer="720" w:gutter="0"/>
          <w:cols w:space="720"/>
        </w:sectPr>
      </w:pPr>
      <w:r w:rsidRPr="005F416F">
        <w:rPr>
          <w:sz w:val="24"/>
        </w:rPr>
        <w:t>Party 2</w:t>
      </w:r>
      <w:r w:rsidR="00206BBE" w:rsidRPr="005F416F">
        <w:rPr>
          <w:sz w:val="24"/>
        </w:rPr>
        <w:t>:</w:t>
      </w:r>
      <w:r w:rsidR="00E25AD2" w:rsidRPr="005F416F">
        <w:rPr>
          <w:sz w:val="24"/>
        </w:rPr>
        <w:t xml:space="preserve"> The</w:t>
      </w:r>
      <w:r w:rsidR="00F24DCA" w:rsidRPr="005F416F">
        <w:rPr>
          <w:sz w:val="24"/>
        </w:rPr>
        <w:t xml:space="preserve"> </w:t>
      </w:r>
      <w:r w:rsidR="00CD47B2" w:rsidRPr="005F416F">
        <w:rPr>
          <w:sz w:val="24"/>
        </w:rPr>
        <w:t xml:space="preserve">Northern Ireland Assembly Commissioner for Standards </w:t>
      </w:r>
    </w:p>
    <w:p w14:paraId="1DC34B96" w14:textId="77777777" w:rsidR="00072310" w:rsidRPr="005F416F" w:rsidRDefault="00072310">
      <w:pPr>
        <w:rPr>
          <w:rFonts w:ascii="Arial" w:hAnsi="Arial" w:cs="Arial"/>
        </w:rPr>
        <w:sectPr w:rsidR="00072310" w:rsidRPr="005F416F" w:rsidSect="00590645">
          <w:type w:val="continuous"/>
          <w:pgSz w:w="12240" w:h="15840"/>
          <w:pgMar w:top="1440" w:right="1440" w:bottom="1440" w:left="1440" w:header="720" w:footer="720" w:gutter="0"/>
          <w:cols w:space="720"/>
        </w:sectPr>
      </w:pPr>
    </w:p>
    <w:p w14:paraId="3BA6A333" w14:textId="77777777" w:rsidR="008D44D5" w:rsidRPr="005F416F" w:rsidRDefault="008D44D5" w:rsidP="00DF50E0">
      <w:pPr>
        <w:pStyle w:val="IntroDefault"/>
        <w:rPr>
          <w:szCs w:val="24"/>
        </w:rPr>
      </w:pPr>
      <w:r w:rsidRPr="005F416F">
        <w:rPr>
          <w:szCs w:val="24"/>
        </w:rPr>
        <w:lastRenderedPageBreak/>
        <w:t>This agreement is dated [DATE]</w:t>
      </w:r>
    </w:p>
    <w:p w14:paraId="02CFB3A6" w14:textId="77777777" w:rsidR="008D44D5" w:rsidRPr="002247F7" w:rsidRDefault="008D44D5" w:rsidP="00DF50E0">
      <w:pPr>
        <w:pStyle w:val="DescriptiveHeading"/>
        <w:rPr>
          <w:sz w:val="24"/>
          <w:szCs w:val="24"/>
        </w:rPr>
      </w:pPr>
      <w:r w:rsidRPr="002247F7">
        <w:rPr>
          <w:sz w:val="24"/>
          <w:szCs w:val="24"/>
        </w:rPr>
        <w:t>Parties</w:t>
      </w:r>
    </w:p>
    <w:p w14:paraId="752B8BCB" w14:textId="33C7D708" w:rsidR="008D44D5" w:rsidRPr="005F416F" w:rsidRDefault="008D44D5" w:rsidP="00DF50E0">
      <w:pPr>
        <w:pStyle w:val="Parties"/>
        <w:rPr>
          <w:szCs w:val="24"/>
        </w:rPr>
      </w:pPr>
      <w:r w:rsidRPr="005F416F">
        <w:rPr>
          <w:szCs w:val="24"/>
        </w:rPr>
        <w:t>[NAME] (</w:t>
      </w:r>
      <w:r w:rsidRPr="005F416F">
        <w:rPr>
          <w:rStyle w:val="DefTerm"/>
          <w:szCs w:val="24"/>
        </w:rPr>
        <w:t>Party 1</w:t>
      </w:r>
      <w:r w:rsidRPr="005F416F">
        <w:rPr>
          <w:szCs w:val="24"/>
        </w:rPr>
        <w:t xml:space="preserve">) </w:t>
      </w:r>
    </w:p>
    <w:p w14:paraId="229ED633" w14:textId="56A586B0" w:rsidR="008D44D5" w:rsidRPr="005F416F" w:rsidRDefault="008D44D5" w:rsidP="00DF50E0">
      <w:pPr>
        <w:pStyle w:val="Parties"/>
        <w:rPr>
          <w:szCs w:val="24"/>
        </w:rPr>
      </w:pPr>
      <w:r w:rsidRPr="005F416F">
        <w:rPr>
          <w:szCs w:val="24"/>
        </w:rPr>
        <w:t>[</w:t>
      </w:r>
      <w:r w:rsidR="001665EB" w:rsidRPr="005F416F">
        <w:rPr>
          <w:szCs w:val="24"/>
        </w:rPr>
        <w:t>THE NORTHERN IRELAND ASSEMBLY COMMISSIONER FOR STANDARDS</w:t>
      </w:r>
      <w:r w:rsidRPr="005F416F">
        <w:rPr>
          <w:szCs w:val="24"/>
        </w:rPr>
        <w:t>] (</w:t>
      </w:r>
      <w:r w:rsidRPr="005F416F">
        <w:rPr>
          <w:rStyle w:val="DefTerm"/>
          <w:szCs w:val="24"/>
        </w:rPr>
        <w:t>Party 2</w:t>
      </w:r>
      <w:r w:rsidRPr="005F416F">
        <w:rPr>
          <w:szCs w:val="24"/>
        </w:rPr>
        <w:t xml:space="preserve">) </w:t>
      </w:r>
    </w:p>
    <w:p w14:paraId="40415953" w14:textId="77777777" w:rsidR="008D44D5" w:rsidRPr="002247F7" w:rsidRDefault="008D44D5" w:rsidP="00DF50E0">
      <w:pPr>
        <w:pStyle w:val="DescriptiveHeading"/>
        <w:rPr>
          <w:sz w:val="24"/>
          <w:szCs w:val="24"/>
        </w:rPr>
      </w:pPr>
      <w:r w:rsidRPr="002247F7">
        <w:rPr>
          <w:sz w:val="24"/>
          <w:szCs w:val="24"/>
        </w:rPr>
        <w:t>Agreed terms</w:t>
      </w:r>
    </w:p>
    <w:p w14:paraId="260CA48A" w14:textId="77777777" w:rsidR="008D44D5" w:rsidRPr="005F416F" w:rsidRDefault="008D44D5" w:rsidP="00DF50E0">
      <w:pPr>
        <w:pStyle w:val="TitleClause"/>
        <w:rPr>
          <w:szCs w:val="24"/>
        </w:rPr>
      </w:pPr>
      <w:r w:rsidRPr="005F416F">
        <w:rPr>
          <w:szCs w:val="24"/>
        </w:rPr>
        <w:fldChar w:fldCharType="begin"/>
      </w:r>
      <w:r w:rsidRPr="005F416F">
        <w:rPr>
          <w:szCs w:val="24"/>
        </w:rPr>
        <w:instrText>TC "1. Interpretation" \l 1</w:instrText>
      </w:r>
      <w:r w:rsidRPr="005F416F">
        <w:rPr>
          <w:szCs w:val="24"/>
        </w:rPr>
        <w:fldChar w:fldCharType="end"/>
      </w:r>
      <w:bookmarkStart w:id="0" w:name="_Toc256000000"/>
      <w:bookmarkStart w:id="1" w:name="a80007"/>
      <w:r w:rsidRPr="005F416F">
        <w:rPr>
          <w:szCs w:val="24"/>
        </w:rPr>
        <w:t>Interpretation</w:t>
      </w:r>
      <w:bookmarkEnd w:id="0"/>
      <w:bookmarkEnd w:id="1"/>
    </w:p>
    <w:p w14:paraId="4E10FE60" w14:textId="77777777" w:rsidR="008D44D5" w:rsidRPr="005F416F" w:rsidRDefault="008D44D5" w:rsidP="00DF50E0">
      <w:pPr>
        <w:pStyle w:val="Untitledsubclause1"/>
        <w:rPr>
          <w:szCs w:val="24"/>
        </w:rPr>
      </w:pPr>
      <w:bookmarkStart w:id="2" w:name="a1019143"/>
      <w:r w:rsidRPr="005F416F">
        <w:rPr>
          <w:szCs w:val="24"/>
        </w:rPr>
        <w:t>Definitions:</w:t>
      </w:r>
      <w:bookmarkEnd w:id="2"/>
    </w:p>
    <w:p w14:paraId="08695455" w14:textId="0E611C4B" w:rsidR="009707E1" w:rsidRPr="005F416F" w:rsidRDefault="009707E1" w:rsidP="00743EA8">
      <w:pPr>
        <w:pStyle w:val="TitleClause"/>
        <w:numPr>
          <w:ilvl w:val="0"/>
          <w:numId w:val="0"/>
        </w:numPr>
        <w:ind w:left="720"/>
        <w:rPr>
          <w:rStyle w:val="DefTerm"/>
          <w:b/>
          <w:kern w:val="2"/>
          <w:szCs w:val="24"/>
        </w:rPr>
      </w:pPr>
      <w:r w:rsidRPr="005F416F">
        <w:rPr>
          <w:rStyle w:val="DefTerm"/>
          <w:b/>
          <w:bCs/>
          <w:szCs w:val="24"/>
        </w:rPr>
        <w:t>Complaint</w:t>
      </w:r>
      <w:r w:rsidRPr="005F416F">
        <w:rPr>
          <w:szCs w:val="24"/>
        </w:rPr>
        <w:t xml:space="preserve"> </w:t>
      </w:r>
      <w:r w:rsidRPr="005F416F">
        <w:rPr>
          <w:b w:val="0"/>
          <w:bCs/>
          <w:szCs w:val="24"/>
        </w:rPr>
        <w:t>means a complaint raised under the Unacceptable Behaviours Policy [as approved by the Assembly</w:t>
      </w:r>
      <w:r w:rsidR="001F21EE" w:rsidRPr="005F416F">
        <w:rPr>
          <w:b w:val="0"/>
          <w:bCs/>
          <w:szCs w:val="24"/>
        </w:rPr>
        <w:t xml:space="preserve"> / Commission</w:t>
      </w:r>
      <w:r w:rsidRPr="005F416F">
        <w:rPr>
          <w:b w:val="0"/>
          <w:bCs/>
          <w:szCs w:val="24"/>
        </w:rPr>
        <w:t xml:space="preserve"> on</w:t>
      </w:r>
      <w:r w:rsidR="00C00608" w:rsidRPr="005F416F">
        <w:rPr>
          <w:b w:val="0"/>
          <w:bCs/>
          <w:szCs w:val="24"/>
        </w:rPr>
        <w:t xml:space="preserve"> XX</w:t>
      </w:r>
      <w:r w:rsidRPr="005F416F">
        <w:rPr>
          <w:b w:val="0"/>
          <w:bCs/>
          <w:szCs w:val="24"/>
        </w:rPr>
        <w:t xml:space="preserve"> ]</w:t>
      </w:r>
    </w:p>
    <w:p w14:paraId="5DD88F85" w14:textId="7B2DA86E" w:rsidR="008D44D5" w:rsidRPr="005F416F" w:rsidRDefault="008D44D5" w:rsidP="00DF50E0">
      <w:pPr>
        <w:pStyle w:val="DefinedTermPara"/>
        <w:rPr>
          <w:b/>
          <w:szCs w:val="24"/>
        </w:rPr>
      </w:pPr>
      <w:bookmarkStart w:id="3" w:name="a212684"/>
      <w:r w:rsidRPr="005F416F">
        <w:rPr>
          <w:rStyle w:val="DefTerm"/>
          <w:szCs w:val="24"/>
        </w:rPr>
        <w:t>Confidential Information</w:t>
      </w:r>
      <w:r w:rsidRPr="005F416F">
        <w:rPr>
          <w:szCs w:val="24"/>
        </w:rPr>
        <w:t xml:space="preserve">: has the meaning given in </w:t>
      </w:r>
      <w:r w:rsidRPr="005F416F">
        <w:rPr>
          <w:szCs w:val="24"/>
        </w:rPr>
        <w:fldChar w:fldCharType="begin"/>
      </w:r>
      <w:r w:rsidRPr="005F416F">
        <w:rPr>
          <w:szCs w:val="24"/>
        </w:rPr>
        <w:instrText>PAGEREF a397587\# "'clause '"  \h</w:instrText>
      </w:r>
      <w:r w:rsidRPr="005F416F">
        <w:rPr>
          <w:szCs w:val="24"/>
        </w:rPr>
      </w:r>
      <w:r w:rsidRPr="005F416F">
        <w:rPr>
          <w:szCs w:val="24"/>
        </w:rPr>
        <w:fldChar w:fldCharType="separate"/>
      </w:r>
      <w:r w:rsidRPr="005F416F">
        <w:rPr>
          <w:szCs w:val="24"/>
        </w:rPr>
        <w:t xml:space="preserve">clause </w:t>
      </w:r>
      <w:r w:rsidRPr="005F416F">
        <w:rPr>
          <w:szCs w:val="24"/>
        </w:rPr>
        <w:fldChar w:fldCharType="end"/>
      </w:r>
      <w:r w:rsidRPr="005F416F">
        <w:rPr>
          <w:szCs w:val="24"/>
        </w:rPr>
        <w:fldChar w:fldCharType="begin"/>
      </w:r>
      <w:r w:rsidRPr="005F416F">
        <w:rPr>
          <w:szCs w:val="24"/>
          <w:highlight w:val="lightGray"/>
        </w:rPr>
        <w:instrText>REF a397587 \h \w</w:instrText>
      </w:r>
      <w:r w:rsidR="005F416F" w:rsidRPr="005F416F">
        <w:rPr>
          <w:szCs w:val="24"/>
        </w:rPr>
        <w:instrText xml:space="preserve"> \* MERGEFORMAT </w:instrText>
      </w:r>
      <w:r w:rsidRPr="005F416F">
        <w:rPr>
          <w:szCs w:val="24"/>
        </w:rPr>
      </w:r>
      <w:r w:rsidRPr="005F416F">
        <w:rPr>
          <w:szCs w:val="24"/>
        </w:rPr>
        <w:fldChar w:fldCharType="separate"/>
      </w:r>
      <w:r w:rsidRPr="005F416F">
        <w:rPr>
          <w:szCs w:val="24"/>
        </w:rPr>
        <w:t>2</w:t>
      </w:r>
      <w:r w:rsidRPr="005F416F">
        <w:rPr>
          <w:szCs w:val="24"/>
        </w:rPr>
        <w:fldChar w:fldCharType="end"/>
      </w:r>
      <w:r w:rsidRPr="005F416F">
        <w:rPr>
          <w:szCs w:val="24"/>
        </w:rPr>
        <w:t xml:space="preserve">. </w:t>
      </w:r>
      <w:bookmarkEnd w:id="3"/>
    </w:p>
    <w:p w14:paraId="16BF4E44" w14:textId="7D2EEA60" w:rsidR="008D44D5" w:rsidRPr="005F416F" w:rsidRDefault="008D44D5" w:rsidP="00DF50E0">
      <w:pPr>
        <w:pStyle w:val="DefinedTermPara"/>
        <w:rPr>
          <w:szCs w:val="24"/>
        </w:rPr>
      </w:pPr>
      <w:r w:rsidRPr="005F416F">
        <w:rPr>
          <w:b/>
          <w:szCs w:val="24"/>
        </w:rPr>
        <w:t>Data Protection Legislation</w:t>
      </w:r>
      <w:r w:rsidRPr="005F416F">
        <w:rPr>
          <w:szCs w:val="24"/>
        </w:rPr>
        <w:t xml:space="preserve">: all applicable data protection and privacy legislation in force from time to time in </w:t>
      </w:r>
      <w:r w:rsidR="003C6C18" w:rsidRPr="005F416F">
        <w:rPr>
          <w:szCs w:val="24"/>
        </w:rPr>
        <w:t xml:space="preserve">Northern Ireland </w:t>
      </w:r>
      <w:r w:rsidRPr="005F416F">
        <w:rPr>
          <w:szCs w:val="24"/>
        </w:rPr>
        <w:t>including the UK GDPR; the Data Protection Act 2018 (DPA 2018) (and regulations made thereunder); the Privacy and Electronic Communications Regulations 2003 (SI 2003/2426) as amended] [and all other legislation and regulatory requirements in force from time to time which apply to a party relating to the use of personal data</w:t>
      </w:r>
      <w:r w:rsidR="003C6C18" w:rsidRPr="005F416F">
        <w:rPr>
          <w:szCs w:val="24"/>
        </w:rPr>
        <w:t>.</w:t>
      </w:r>
      <w:r w:rsidRPr="005F416F">
        <w:rPr>
          <w:szCs w:val="24"/>
        </w:rPr>
        <w:t xml:space="preserve"> </w:t>
      </w:r>
    </w:p>
    <w:p w14:paraId="1BC37893" w14:textId="77777777" w:rsidR="008D44D5" w:rsidRPr="005F416F" w:rsidRDefault="008D44D5" w:rsidP="00DF50E0">
      <w:pPr>
        <w:pStyle w:val="Untitledsubclause1"/>
        <w:rPr>
          <w:szCs w:val="24"/>
        </w:rPr>
      </w:pPr>
      <w:bookmarkStart w:id="4" w:name="a107474"/>
      <w:r w:rsidRPr="005F416F">
        <w:rPr>
          <w:szCs w:val="24"/>
        </w:rPr>
        <w:t>A reference to legislation or a legislative provision is a reference to it as amended, extended or re-enacted from time to time. A reference to legislation or a legislative provision includes all subordinate legislation made from time to time under that legislation or legislative provision.</w:t>
      </w:r>
      <w:bookmarkEnd w:id="4"/>
    </w:p>
    <w:p w14:paraId="34F5573A" w14:textId="77777777" w:rsidR="008D44D5" w:rsidRPr="005F416F" w:rsidRDefault="008D44D5" w:rsidP="00DF50E0">
      <w:pPr>
        <w:pStyle w:val="Untitledsubclause1"/>
        <w:rPr>
          <w:szCs w:val="24"/>
        </w:rPr>
      </w:pPr>
      <w:bookmarkStart w:id="5" w:name="a618089"/>
      <w:r w:rsidRPr="005F416F">
        <w:rPr>
          <w:szCs w:val="24"/>
        </w:rPr>
        <w:t>Any words following the terms including, include, in particular, for example or any similar expression shall be construed as illustrative and shall not limit the sense of the words preceding those terms.</w:t>
      </w:r>
      <w:bookmarkEnd w:id="5"/>
    </w:p>
    <w:p w14:paraId="68B7792D" w14:textId="77777777" w:rsidR="008D44D5" w:rsidRPr="005F416F" w:rsidRDefault="008D44D5" w:rsidP="00DF50E0">
      <w:pPr>
        <w:pStyle w:val="Untitledsubclause1"/>
        <w:rPr>
          <w:szCs w:val="24"/>
        </w:rPr>
      </w:pPr>
      <w:bookmarkStart w:id="6" w:name="a829985"/>
      <w:r w:rsidRPr="005F416F">
        <w:rPr>
          <w:szCs w:val="24"/>
        </w:rPr>
        <w:t>Any obligation on a party not to do something includes an obligation not to allow that thing to be done.</w:t>
      </w:r>
      <w:bookmarkEnd w:id="6"/>
    </w:p>
    <w:p w14:paraId="61B09667" w14:textId="77777777" w:rsidR="008D44D5" w:rsidRPr="005F416F" w:rsidRDefault="008D44D5" w:rsidP="00DF50E0">
      <w:pPr>
        <w:pStyle w:val="TitleClause"/>
        <w:rPr>
          <w:szCs w:val="24"/>
        </w:rPr>
      </w:pPr>
      <w:r w:rsidRPr="005F416F">
        <w:rPr>
          <w:szCs w:val="24"/>
        </w:rPr>
        <w:fldChar w:fldCharType="begin"/>
      </w:r>
      <w:r w:rsidRPr="005F416F">
        <w:rPr>
          <w:szCs w:val="24"/>
        </w:rPr>
        <w:instrText>TC "2. Confidential Information" \l 1</w:instrText>
      </w:r>
      <w:r w:rsidRPr="005F416F">
        <w:rPr>
          <w:szCs w:val="24"/>
        </w:rPr>
        <w:fldChar w:fldCharType="end"/>
      </w:r>
      <w:bookmarkStart w:id="7" w:name="_Toc256000001"/>
      <w:bookmarkStart w:id="8" w:name="a397587"/>
      <w:r w:rsidRPr="005F416F">
        <w:rPr>
          <w:szCs w:val="24"/>
        </w:rPr>
        <w:t>Confidential Information</w:t>
      </w:r>
      <w:bookmarkEnd w:id="7"/>
      <w:bookmarkEnd w:id="8"/>
    </w:p>
    <w:p w14:paraId="4E86CC34" w14:textId="1D6E2910" w:rsidR="008D44D5" w:rsidRPr="005F416F" w:rsidRDefault="008D44D5" w:rsidP="00FC5706">
      <w:pPr>
        <w:pStyle w:val="Untitledsubclause1"/>
        <w:numPr>
          <w:ilvl w:val="0"/>
          <w:numId w:val="0"/>
        </w:numPr>
        <w:ind w:left="720"/>
        <w:rPr>
          <w:b/>
          <w:szCs w:val="24"/>
        </w:rPr>
      </w:pPr>
      <w:bookmarkStart w:id="9" w:name="a789254"/>
      <w:r w:rsidRPr="005F416F">
        <w:rPr>
          <w:rStyle w:val="DefTerm"/>
          <w:szCs w:val="24"/>
        </w:rPr>
        <w:t>Confidential Information</w:t>
      </w:r>
      <w:r w:rsidRPr="005F416F">
        <w:rPr>
          <w:szCs w:val="24"/>
        </w:rPr>
        <w:t xml:space="preserve"> means all information relating to </w:t>
      </w:r>
      <w:r w:rsidR="005C5370" w:rsidRPr="005F416F">
        <w:rPr>
          <w:szCs w:val="24"/>
        </w:rPr>
        <w:t>a</w:t>
      </w:r>
      <w:r w:rsidRPr="005F416F">
        <w:rPr>
          <w:szCs w:val="24"/>
        </w:rPr>
        <w:t xml:space="preserve"> </w:t>
      </w:r>
      <w:r w:rsidR="005C5370" w:rsidRPr="005F416F">
        <w:rPr>
          <w:szCs w:val="24"/>
        </w:rPr>
        <w:t>c</w:t>
      </w:r>
      <w:r w:rsidR="00741176" w:rsidRPr="005F416F">
        <w:rPr>
          <w:szCs w:val="24"/>
        </w:rPr>
        <w:t xml:space="preserve">omplaint </w:t>
      </w:r>
      <w:bookmarkEnd w:id="9"/>
      <w:r w:rsidR="001F21EE" w:rsidRPr="005F416F">
        <w:rPr>
          <w:szCs w:val="24"/>
        </w:rPr>
        <w:t>including, but not limited to</w:t>
      </w:r>
      <w:r w:rsidR="00E25AD2" w:rsidRPr="005F416F">
        <w:rPr>
          <w:szCs w:val="24"/>
        </w:rPr>
        <w:t>,</w:t>
      </w:r>
    </w:p>
    <w:p w14:paraId="2454B81D" w14:textId="1FD8CE01" w:rsidR="008D44D5" w:rsidRPr="005F416F" w:rsidRDefault="008D44D5" w:rsidP="00DF50E0">
      <w:pPr>
        <w:pStyle w:val="Untitledsubclause2"/>
        <w:rPr>
          <w:szCs w:val="24"/>
        </w:rPr>
      </w:pPr>
      <w:bookmarkStart w:id="10" w:name="a581630"/>
      <w:r w:rsidRPr="005F416F">
        <w:rPr>
          <w:szCs w:val="24"/>
        </w:rPr>
        <w:t xml:space="preserve">the fact that </w:t>
      </w:r>
      <w:r w:rsidR="00741176" w:rsidRPr="005F416F">
        <w:rPr>
          <w:szCs w:val="24"/>
        </w:rPr>
        <w:t>a complaint has been made</w:t>
      </w:r>
      <w:r w:rsidRPr="005F416F">
        <w:rPr>
          <w:szCs w:val="24"/>
        </w:rPr>
        <w:t>;</w:t>
      </w:r>
      <w:bookmarkEnd w:id="10"/>
    </w:p>
    <w:p w14:paraId="6128067A" w14:textId="12536C6D" w:rsidR="008D44D5" w:rsidRPr="005F416F" w:rsidRDefault="008D44D5" w:rsidP="00DF50E0">
      <w:pPr>
        <w:pStyle w:val="Untitledsubclause2"/>
        <w:rPr>
          <w:szCs w:val="24"/>
        </w:rPr>
      </w:pPr>
      <w:r w:rsidRPr="005F416F">
        <w:rPr>
          <w:szCs w:val="24"/>
        </w:rPr>
        <w:lastRenderedPageBreak/>
        <w:fldChar w:fldCharType="begin"/>
      </w:r>
      <w:r w:rsidRPr="005F416F">
        <w:rPr>
          <w:szCs w:val="24"/>
        </w:rPr>
        <w:fldChar w:fldCharType="end"/>
      </w:r>
      <w:bookmarkStart w:id="11" w:name="a516088"/>
      <w:r w:rsidRPr="005F416F">
        <w:rPr>
          <w:szCs w:val="24"/>
        </w:rPr>
        <w:t>the existence and</w:t>
      </w:r>
      <w:r w:rsidR="00A740D0" w:rsidRPr="005F416F">
        <w:rPr>
          <w:szCs w:val="24"/>
        </w:rPr>
        <w:t xml:space="preserve"> </w:t>
      </w:r>
      <w:r w:rsidRPr="005F416F">
        <w:rPr>
          <w:szCs w:val="24"/>
        </w:rPr>
        <w:t>terms of this agreement;</w:t>
      </w:r>
      <w:bookmarkEnd w:id="11"/>
    </w:p>
    <w:p w14:paraId="578D5D45" w14:textId="76C565A6" w:rsidR="008D44D5" w:rsidRPr="005F416F" w:rsidRDefault="008D44D5" w:rsidP="00DF50E0">
      <w:pPr>
        <w:pStyle w:val="Untitledsubclause2"/>
        <w:rPr>
          <w:szCs w:val="24"/>
        </w:rPr>
      </w:pPr>
      <w:bookmarkStart w:id="12" w:name="a105857"/>
      <w:r w:rsidRPr="005F416F">
        <w:rPr>
          <w:szCs w:val="24"/>
        </w:rPr>
        <w:t>all information relating to</w:t>
      </w:r>
      <w:r w:rsidR="00741176" w:rsidRPr="005F416F">
        <w:rPr>
          <w:szCs w:val="24"/>
        </w:rPr>
        <w:t xml:space="preserve"> </w:t>
      </w:r>
      <w:r w:rsidR="00990EED" w:rsidRPr="005F416F">
        <w:rPr>
          <w:szCs w:val="24"/>
        </w:rPr>
        <w:t>a</w:t>
      </w:r>
      <w:r w:rsidR="00741176" w:rsidRPr="005F416F">
        <w:rPr>
          <w:szCs w:val="24"/>
        </w:rPr>
        <w:t xml:space="preserve"> </w:t>
      </w:r>
      <w:r w:rsidR="001F21EE" w:rsidRPr="005F416F">
        <w:rPr>
          <w:szCs w:val="24"/>
        </w:rPr>
        <w:t>c</w:t>
      </w:r>
      <w:r w:rsidR="00741176" w:rsidRPr="005F416F">
        <w:rPr>
          <w:szCs w:val="24"/>
        </w:rPr>
        <w:t>omplaint</w:t>
      </w:r>
      <w:r w:rsidRPr="005F416F">
        <w:rPr>
          <w:szCs w:val="24"/>
        </w:rPr>
        <w:t>:</w:t>
      </w:r>
      <w:bookmarkEnd w:id="12"/>
    </w:p>
    <w:p w14:paraId="3185A7E3" w14:textId="21C0E423" w:rsidR="008D44D5" w:rsidRPr="005F416F" w:rsidRDefault="008D44D5" w:rsidP="00DF50E0">
      <w:pPr>
        <w:pStyle w:val="Untitledsubclause2"/>
        <w:rPr>
          <w:szCs w:val="24"/>
        </w:rPr>
      </w:pPr>
      <w:bookmarkStart w:id="13" w:name="a714058"/>
      <w:r w:rsidRPr="005F416F">
        <w:rPr>
          <w:szCs w:val="24"/>
        </w:rPr>
        <w:t>any information, findings, data or analysis derived from</w:t>
      </w:r>
      <w:r w:rsidR="001F21EE" w:rsidRPr="005F416F">
        <w:rPr>
          <w:szCs w:val="24"/>
        </w:rPr>
        <w:t xml:space="preserve"> a complaint</w:t>
      </w:r>
      <w:r w:rsidRPr="005F416F">
        <w:rPr>
          <w:szCs w:val="24"/>
        </w:rPr>
        <w:t xml:space="preserve"> ; </w:t>
      </w:r>
      <w:bookmarkEnd w:id="13"/>
    </w:p>
    <w:p w14:paraId="3659EEFC" w14:textId="77777777" w:rsidR="008D44D5" w:rsidRPr="005F416F" w:rsidRDefault="008D44D5" w:rsidP="00DF50E0">
      <w:pPr>
        <w:pStyle w:val="TitleClause"/>
        <w:rPr>
          <w:szCs w:val="24"/>
        </w:rPr>
      </w:pPr>
      <w:r w:rsidRPr="005F416F">
        <w:rPr>
          <w:szCs w:val="24"/>
        </w:rPr>
        <w:fldChar w:fldCharType="begin"/>
      </w:r>
      <w:r w:rsidRPr="005F416F">
        <w:rPr>
          <w:szCs w:val="24"/>
        </w:rPr>
        <w:instrText>TC "3. Confidentiality obligations" \l 1</w:instrText>
      </w:r>
      <w:r w:rsidRPr="005F416F">
        <w:rPr>
          <w:szCs w:val="24"/>
        </w:rPr>
        <w:fldChar w:fldCharType="end"/>
      </w:r>
      <w:bookmarkStart w:id="14" w:name="_Toc256000002"/>
      <w:bookmarkStart w:id="15" w:name="a785029"/>
      <w:r w:rsidRPr="005F416F">
        <w:rPr>
          <w:szCs w:val="24"/>
        </w:rPr>
        <w:t>Confidentiality obligations</w:t>
      </w:r>
      <w:bookmarkEnd w:id="14"/>
      <w:bookmarkEnd w:id="15"/>
    </w:p>
    <w:p w14:paraId="5E38F05D" w14:textId="64354917" w:rsidR="005C5370" w:rsidRPr="005F416F" w:rsidRDefault="005C5370" w:rsidP="00743EA8">
      <w:pPr>
        <w:pStyle w:val="Untitledsubclause1"/>
        <w:rPr>
          <w:szCs w:val="24"/>
        </w:rPr>
      </w:pPr>
      <w:bookmarkStart w:id="16" w:name="a998875"/>
      <w:r w:rsidRPr="005F416F">
        <w:rPr>
          <w:szCs w:val="24"/>
        </w:rPr>
        <w:t>Both parties undertake</w:t>
      </w:r>
      <w:bookmarkStart w:id="17" w:name="a540626"/>
      <w:r w:rsidRPr="005F416F">
        <w:rPr>
          <w:szCs w:val="24"/>
        </w:rPr>
        <w:t xml:space="preserve"> to</w:t>
      </w:r>
      <w:bookmarkEnd w:id="17"/>
      <w:r w:rsidRPr="005F416F">
        <w:rPr>
          <w:szCs w:val="24"/>
        </w:rPr>
        <w:t xml:space="preserve"> </w:t>
      </w:r>
      <w:r w:rsidR="00B86239" w:rsidRPr="005F416F">
        <w:rPr>
          <w:szCs w:val="24"/>
        </w:rPr>
        <w:t>ke</w:t>
      </w:r>
      <w:r w:rsidRPr="005F416F">
        <w:rPr>
          <w:szCs w:val="24"/>
        </w:rPr>
        <w:t xml:space="preserve">ep the Confidential Information confidential until the complaint process has </w:t>
      </w:r>
      <w:r w:rsidR="00E25AD2" w:rsidRPr="005F416F">
        <w:rPr>
          <w:szCs w:val="24"/>
        </w:rPr>
        <w:t>concluded</w:t>
      </w:r>
      <w:r w:rsidRPr="005F416F">
        <w:rPr>
          <w:szCs w:val="24"/>
        </w:rPr>
        <w:t>;</w:t>
      </w:r>
    </w:p>
    <w:p w14:paraId="41C52BAC" w14:textId="7705E3BA" w:rsidR="005C5370" w:rsidRPr="005F416F" w:rsidRDefault="005C5370" w:rsidP="005C5370">
      <w:pPr>
        <w:pStyle w:val="Untitledsubclause1"/>
        <w:rPr>
          <w:szCs w:val="24"/>
        </w:rPr>
      </w:pPr>
      <w:r w:rsidRPr="005F416F">
        <w:rPr>
          <w:szCs w:val="24"/>
        </w:rPr>
        <w:t>Party 2 undertakes to</w:t>
      </w:r>
      <w:r w:rsidR="00B86239" w:rsidRPr="005F416F">
        <w:rPr>
          <w:szCs w:val="24"/>
        </w:rPr>
        <w:t xml:space="preserve"> </w:t>
      </w:r>
      <w:r w:rsidRPr="005F416F">
        <w:rPr>
          <w:szCs w:val="24"/>
        </w:rPr>
        <w:t>use the Confidential Information only for the purposes of dealing with a complaint under the Unacceptable Behaviours Policy</w:t>
      </w:r>
      <w:r w:rsidR="00153F99" w:rsidRPr="005F416F">
        <w:rPr>
          <w:szCs w:val="24"/>
        </w:rPr>
        <w:t xml:space="preserve">. This </w:t>
      </w:r>
      <w:r w:rsidR="00BE1E5D" w:rsidRPr="005F416F">
        <w:rPr>
          <w:szCs w:val="24"/>
        </w:rPr>
        <w:t xml:space="preserve">includes </w:t>
      </w:r>
      <w:r w:rsidR="009B7374" w:rsidRPr="005F416F">
        <w:rPr>
          <w:szCs w:val="24"/>
        </w:rPr>
        <w:t>consideration of the complaint</w:t>
      </w:r>
      <w:r w:rsidR="00BE1E5D" w:rsidRPr="005F416F">
        <w:rPr>
          <w:szCs w:val="24"/>
        </w:rPr>
        <w:t xml:space="preserve"> by the Committee for Standards </w:t>
      </w:r>
      <w:r w:rsidR="00062B08" w:rsidRPr="005F416F">
        <w:rPr>
          <w:szCs w:val="24"/>
        </w:rPr>
        <w:t xml:space="preserve">[and Privileges] </w:t>
      </w:r>
      <w:r w:rsidR="00BE1E5D" w:rsidRPr="005F416F">
        <w:rPr>
          <w:szCs w:val="24"/>
        </w:rPr>
        <w:t xml:space="preserve">as </w:t>
      </w:r>
      <w:r w:rsidR="009C2CA4" w:rsidRPr="005F416F">
        <w:rPr>
          <w:szCs w:val="24"/>
        </w:rPr>
        <w:t xml:space="preserve">provided for in </w:t>
      </w:r>
      <w:r w:rsidR="00BE1E5D" w:rsidRPr="005F416F">
        <w:rPr>
          <w:szCs w:val="24"/>
        </w:rPr>
        <w:t xml:space="preserve">the Unacceptable </w:t>
      </w:r>
      <w:r w:rsidR="009C2CA4" w:rsidRPr="005F416F">
        <w:rPr>
          <w:szCs w:val="24"/>
        </w:rPr>
        <w:t>Behaviours</w:t>
      </w:r>
      <w:r w:rsidR="00BE1E5D" w:rsidRPr="005F416F">
        <w:rPr>
          <w:szCs w:val="24"/>
        </w:rPr>
        <w:t xml:space="preserve"> Policy</w:t>
      </w:r>
      <w:r w:rsidR="00B86239" w:rsidRPr="005F416F">
        <w:rPr>
          <w:szCs w:val="24"/>
        </w:rPr>
        <w:t>;</w:t>
      </w:r>
    </w:p>
    <w:p w14:paraId="758543B6" w14:textId="65E83260" w:rsidR="008D44D5" w:rsidRPr="005F416F" w:rsidRDefault="008D44D5" w:rsidP="005C5370">
      <w:pPr>
        <w:pStyle w:val="Untitledsubclause1"/>
        <w:rPr>
          <w:szCs w:val="24"/>
        </w:rPr>
      </w:pPr>
      <w:r w:rsidRPr="005F416F">
        <w:rPr>
          <w:szCs w:val="24"/>
        </w:rPr>
        <w:t>Party 2</w:t>
      </w:r>
      <w:r w:rsidR="005C5370" w:rsidRPr="005F416F">
        <w:rPr>
          <w:szCs w:val="24"/>
        </w:rPr>
        <w:t xml:space="preserve"> </w:t>
      </w:r>
      <w:r w:rsidRPr="005F416F">
        <w:rPr>
          <w:szCs w:val="24"/>
        </w:rPr>
        <w:t xml:space="preserve">shall establish and maintain adequate security measures to safeguard the Confidential Information from unauthorised access or use. </w:t>
      </w:r>
      <w:bookmarkEnd w:id="16"/>
    </w:p>
    <w:p w14:paraId="6DE92C5B" w14:textId="77777777" w:rsidR="008D44D5" w:rsidRPr="005F416F" w:rsidRDefault="008D44D5" w:rsidP="00DF50E0">
      <w:pPr>
        <w:pStyle w:val="TitleClause"/>
        <w:rPr>
          <w:szCs w:val="24"/>
        </w:rPr>
      </w:pPr>
      <w:r w:rsidRPr="005F416F">
        <w:rPr>
          <w:szCs w:val="24"/>
        </w:rPr>
        <w:fldChar w:fldCharType="begin"/>
      </w:r>
      <w:r w:rsidRPr="005F416F">
        <w:rPr>
          <w:szCs w:val="24"/>
        </w:rPr>
        <w:instrText>TC "5. Data Protection" \l 1</w:instrText>
      </w:r>
      <w:r w:rsidRPr="005F416F">
        <w:rPr>
          <w:szCs w:val="24"/>
        </w:rPr>
        <w:fldChar w:fldCharType="end"/>
      </w:r>
      <w:bookmarkStart w:id="18" w:name="_Toc256000004"/>
      <w:bookmarkStart w:id="19" w:name="a272658"/>
      <w:r w:rsidRPr="005F416F">
        <w:rPr>
          <w:szCs w:val="24"/>
        </w:rPr>
        <w:t>Data Protection</w:t>
      </w:r>
      <w:bookmarkEnd w:id="18"/>
      <w:bookmarkEnd w:id="19"/>
    </w:p>
    <w:p w14:paraId="00BEDE2C" w14:textId="3F4AB3D7" w:rsidR="008D44D5" w:rsidRPr="005F416F" w:rsidRDefault="008D44D5" w:rsidP="00FC5706">
      <w:pPr>
        <w:pStyle w:val="Untitledsubclause1"/>
        <w:numPr>
          <w:ilvl w:val="0"/>
          <w:numId w:val="0"/>
        </w:numPr>
        <w:ind w:left="720"/>
        <w:rPr>
          <w:szCs w:val="24"/>
        </w:rPr>
      </w:pPr>
      <w:bookmarkStart w:id="20" w:name="a110121"/>
      <w:r w:rsidRPr="005F416F">
        <w:rPr>
          <w:szCs w:val="24"/>
        </w:rPr>
        <w:t>Party 2</w:t>
      </w:r>
      <w:r w:rsidR="009707E1" w:rsidRPr="005F416F">
        <w:rPr>
          <w:szCs w:val="24"/>
        </w:rPr>
        <w:t xml:space="preserve"> </w:t>
      </w:r>
      <w:r w:rsidRPr="005F416F">
        <w:rPr>
          <w:szCs w:val="24"/>
        </w:rPr>
        <w:t xml:space="preserve">shall comply with all the obligations imposed under Data Protection Legislation in relation to </w:t>
      </w:r>
      <w:r w:rsidR="00A12780" w:rsidRPr="005F416F">
        <w:rPr>
          <w:szCs w:val="24"/>
        </w:rPr>
        <w:t>information held for the purposes of considering a complaint.</w:t>
      </w:r>
      <w:bookmarkEnd w:id="20"/>
    </w:p>
    <w:p w14:paraId="355DF0DD" w14:textId="77777777" w:rsidR="008D44D5" w:rsidRPr="005F416F" w:rsidRDefault="008D44D5" w:rsidP="00DF50E0">
      <w:pPr>
        <w:pStyle w:val="TitleClause"/>
        <w:rPr>
          <w:szCs w:val="24"/>
        </w:rPr>
      </w:pPr>
      <w:r w:rsidRPr="005F416F">
        <w:rPr>
          <w:szCs w:val="24"/>
        </w:rPr>
        <w:fldChar w:fldCharType="begin"/>
      </w:r>
      <w:r w:rsidRPr="005F416F">
        <w:rPr>
          <w:szCs w:val="24"/>
        </w:rPr>
        <w:instrText>TC "6. Mandatory disclosure" \l 1</w:instrText>
      </w:r>
      <w:r w:rsidRPr="005F416F">
        <w:rPr>
          <w:szCs w:val="24"/>
        </w:rPr>
        <w:fldChar w:fldCharType="end"/>
      </w:r>
      <w:bookmarkStart w:id="21" w:name="_Toc256000005"/>
      <w:bookmarkStart w:id="22" w:name="a919770"/>
      <w:r w:rsidRPr="005F416F">
        <w:rPr>
          <w:szCs w:val="24"/>
        </w:rPr>
        <w:t>Mandatory disclosure</w:t>
      </w:r>
      <w:bookmarkEnd w:id="21"/>
      <w:bookmarkEnd w:id="22"/>
    </w:p>
    <w:p w14:paraId="6FEE0E92" w14:textId="1923B1BE" w:rsidR="008D44D5" w:rsidRPr="005F416F" w:rsidRDefault="008D44D5" w:rsidP="00DF50E0">
      <w:pPr>
        <w:pStyle w:val="Untitledsubclause1"/>
        <w:rPr>
          <w:szCs w:val="24"/>
        </w:rPr>
      </w:pPr>
      <w:bookmarkStart w:id="23" w:name="a207481"/>
      <w:r w:rsidRPr="005F416F">
        <w:rPr>
          <w:szCs w:val="24"/>
        </w:rPr>
        <w:t xml:space="preserve">Subject to the provisions of this </w:t>
      </w:r>
      <w:r w:rsidR="005C5370" w:rsidRPr="005F416F">
        <w:rPr>
          <w:szCs w:val="24"/>
        </w:rPr>
        <w:t>agreemen</w:t>
      </w:r>
      <w:r w:rsidR="001F21EE" w:rsidRPr="005F416F">
        <w:rPr>
          <w:szCs w:val="24"/>
        </w:rPr>
        <w:t>t</w:t>
      </w:r>
      <w:r w:rsidRPr="005F416F">
        <w:rPr>
          <w:szCs w:val="24"/>
        </w:rPr>
        <w:t xml:space="preserve">, </w:t>
      </w:r>
      <w:r w:rsidR="00AF2EDF">
        <w:rPr>
          <w:szCs w:val="24"/>
        </w:rPr>
        <w:t>either party</w:t>
      </w:r>
      <w:r w:rsidR="005C5370" w:rsidRPr="005F416F">
        <w:rPr>
          <w:szCs w:val="24"/>
        </w:rPr>
        <w:t xml:space="preserve"> </w:t>
      </w:r>
      <w:r w:rsidRPr="005F416F">
        <w:rPr>
          <w:szCs w:val="24"/>
        </w:rPr>
        <w:t>may</w:t>
      </w:r>
      <w:r w:rsidR="00AF2EDF">
        <w:rPr>
          <w:szCs w:val="24"/>
        </w:rPr>
        <w:t xml:space="preserve"> </w:t>
      </w:r>
      <w:r w:rsidRPr="005F416F">
        <w:rPr>
          <w:szCs w:val="24"/>
        </w:rPr>
        <w:t>disclose Confidential Information to the minimum extent required by:</w:t>
      </w:r>
      <w:bookmarkEnd w:id="23"/>
    </w:p>
    <w:p w14:paraId="1AB1FCE7" w14:textId="77777777" w:rsidR="008D44D5" w:rsidRPr="005F416F" w:rsidRDefault="008D44D5" w:rsidP="00DF50E0">
      <w:pPr>
        <w:pStyle w:val="Untitledsubclause2"/>
        <w:rPr>
          <w:szCs w:val="24"/>
        </w:rPr>
      </w:pPr>
      <w:bookmarkStart w:id="24" w:name="a588119"/>
      <w:r w:rsidRPr="005F416F">
        <w:rPr>
          <w:szCs w:val="24"/>
        </w:rPr>
        <w:t>an order of any court of competent jurisdiction or any regulatory, judicial, governmental or similar body or any taxation authority of competent jurisdiction;</w:t>
      </w:r>
      <w:bookmarkEnd w:id="24"/>
    </w:p>
    <w:p w14:paraId="6C36C373" w14:textId="43D0AFDE" w:rsidR="00E506E6" w:rsidRPr="005F416F" w:rsidRDefault="008D44D5" w:rsidP="00DF50E0">
      <w:pPr>
        <w:pStyle w:val="Untitledsubclause2"/>
        <w:rPr>
          <w:szCs w:val="24"/>
        </w:rPr>
      </w:pPr>
      <w:bookmarkStart w:id="25" w:name="a656011"/>
      <w:r w:rsidRPr="005F416F">
        <w:rPr>
          <w:szCs w:val="24"/>
        </w:rPr>
        <w:t>the laws or regulations of any country to which its affairs are subject</w:t>
      </w:r>
      <w:r w:rsidR="00E506E6" w:rsidRPr="005F416F">
        <w:rPr>
          <w:szCs w:val="24"/>
        </w:rPr>
        <w:t xml:space="preserve">; </w:t>
      </w:r>
      <w:r w:rsidR="0069407C">
        <w:rPr>
          <w:szCs w:val="24"/>
        </w:rPr>
        <w:t>or</w:t>
      </w:r>
    </w:p>
    <w:p w14:paraId="6222FD1A" w14:textId="2BA60D27" w:rsidR="008D44D5" w:rsidRPr="005F416F" w:rsidRDefault="00E506E6" w:rsidP="00DF50E0">
      <w:pPr>
        <w:pStyle w:val="Untitledsubclause2"/>
        <w:rPr>
          <w:szCs w:val="24"/>
        </w:rPr>
      </w:pPr>
      <w:r w:rsidRPr="005F416F">
        <w:rPr>
          <w:szCs w:val="24"/>
        </w:rPr>
        <w:t>in</w:t>
      </w:r>
      <w:r w:rsidR="00B159A7" w:rsidRPr="005F416F">
        <w:rPr>
          <w:szCs w:val="24"/>
        </w:rPr>
        <w:t xml:space="preserve"> compliance with the Unacceptable Behaviours Policy</w:t>
      </w:r>
      <w:r w:rsidR="008D44D5" w:rsidRPr="005F416F">
        <w:rPr>
          <w:szCs w:val="24"/>
        </w:rPr>
        <w:t>.</w:t>
      </w:r>
      <w:bookmarkEnd w:id="25"/>
    </w:p>
    <w:p w14:paraId="73ED600A" w14:textId="1998DE4E" w:rsidR="008D44D5" w:rsidRPr="005F416F" w:rsidRDefault="008D44D5" w:rsidP="00DF50E0">
      <w:pPr>
        <w:pStyle w:val="TitleClause"/>
        <w:rPr>
          <w:szCs w:val="24"/>
        </w:rPr>
      </w:pPr>
      <w:r w:rsidRPr="005F416F">
        <w:rPr>
          <w:szCs w:val="24"/>
        </w:rPr>
        <w:fldChar w:fldCharType="begin"/>
      </w:r>
      <w:r w:rsidRPr="005F416F">
        <w:rPr>
          <w:szCs w:val="24"/>
        </w:rPr>
        <w:instrText>TC "7. Return or destruction of Confidential Information" \l 1</w:instrText>
      </w:r>
      <w:r w:rsidRPr="005F416F">
        <w:rPr>
          <w:szCs w:val="24"/>
        </w:rPr>
        <w:fldChar w:fldCharType="end"/>
      </w:r>
      <w:bookmarkStart w:id="26" w:name="_Toc256000006"/>
      <w:bookmarkStart w:id="27" w:name="a516279"/>
      <w:r w:rsidR="00B85B69" w:rsidRPr="005F416F">
        <w:rPr>
          <w:szCs w:val="24"/>
        </w:rPr>
        <w:t>Retention</w:t>
      </w:r>
      <w:r w:rsidRPr="005F416F">
        <w:rPr>
          <w:szCs w:val="24"/>
        </w:rPr>
        <w:t xml:space="preserve"> of Confidential Information</w:t>
      </w:r>
      <w:bookmarkEnd w:id="26"/>
      <w:bookmarkEnd w:id="27"/>
    </w:p>
    <w:p w14:paraId="6158936A" w14:textId="316AEB81" w:rsidR="008D44D5" w:rsidRPr="005F416F" w:rsidRDefault="00B85B69" w:rsidP="001F21EE">
      <w:pPr>
        <w:pStyle w:val="Untitledsubclause1"/>
        <w:numPr>
          <w:ilvl w:val="0"/>
          <w:numId w:val="0"/>
        </w:numPr>
        <w:ind w:left="720"/>
        <w:rPr>
          <w:szCs w:val="24"/>
        </w:rPr>
      </w:pPr>
      <w:r w:rsidRPr="005F416F">
        <w:rPr>
          <w:szCs w:val="24"/>
        </w:rPr>
        <w:t xml:space="preserve">Information held for the purposes of dealing with a complaint with be held in accordance with the Retention and Disposal Policy of the Assembly Commission. </w:t>
      </w:r>
    </w:p>
    <w:p w14:paraId="42E9ADAD" w14:textId="2F5D25B0" w:rsidR="008D44D5" w:rsidRPr="005F416F" w:rsidRDefault="008D44D5" w:rsidP="00DF50E0">
      <w:pPr>
        <w:pStyle w:val="TitleClause"/>
        <w:rPr>
          <w:szCs w:val="24"/>
        </w:rPr>
      </w:pPr>
      <w:r w:rsidRPr="005F416F">
        <w:rPr>
          <w:szCs w:val="24"/>
        </w:rPr>
        <w:fldChar w:fldCharType="begin"/>
      </w:r>
      <w:r w:rsidRPr="005F416F">
        <w:rPr>
          <w:szCs w:val="24"/>
        </w:rPr>
        <w:instrText>TC "12. Ending discussions and duration of confidentiality obligations" \l 1</w:instrText>
      </w:r>
      <w:r w:rsidRPr="005F416F">
        <w:rPr>
          <w:szCs w:val="24"/>
        </w:rPr>
        <w:fldChar w:fldCharType="end"/>
      </w:r>
      <w:bookmarkStart w:id="28" w:name="_Toc256000011"/>
      <w:bookmarkStart w:id="29" w:name="a312109"/>
      <w:r w:rsidR="003C6C18" w:rsidRPr="005F416F">
        <w:rPr>
          <w:szCs w:val="24"/>
        </w:rPr>
        <w:t>D</w:t>
      </w:r>
      <w:r w:rsidRPr="005F416F">
        <w:rPr>
          <w:szCs w:val="24"/>
        </w:rPr>
        <w:t>uration of confidentiality obligations</w:t>
      </w:r>
      <w:bookmarkEnd w:id="28"/>
      <w:bookmarkEnd w:id="29"/>
    </w:p>
    <w:p w14:paraId="582113A5" w14:textId="37E55668" w:rsidR="008D44D5" w:rsidRPr="005F416F" w:rsidRDefault="003C6C18" w:rsidP="001F21EE">
      <w:pPr>
        <w:pStyle w:val="Untitledsubclause1"/>
        <w:numPr>
          <w:ilvl w:val="0"/>
          <w:numId w:val="0"/>
        </w:numPr>
        <w:ind w:left="720"/>
        <w:rPr>
          <w:szCs w:val="24"/>
        </w:rPr>
      </w:pPr>
      <w:bookmarkStart w:id="30" w:name="a371790"/>
      <w:r w:rsidRPr="005F416F">
        <w:rPr>
          <w:szCs w:val="24"/>
        </w:rPr>
        <w:t>E</w:t>
      </w:r>
      <w:r w:rsidR="008D44D5" w:rsidRPr="005F416F">
        <w:rPr>
          <w:szCs w:val="24"/>
        </w:rPr>
        <w:t>ach party's obligations under this agreement shall continue in full force and effect from the date of this agreement</w:t>
      </w:r>
      <w:r w:rsidRPr="005F416F">
        <w:rPr>
          <w:szCs w:val="24"/>
        </w:rPr>
        <w:t xml:space="preserve"> until the </w:t>
      </w:r>
      <w:r w:rsidR="009707E1" w:rsidRPr="005F416F">
        <w:rPr>
          <w:szCs w:val="24"/>
        </w:rPr>
        <w:t>c</w:t>
      </w:r>
      <w:r w:rsidRPr="005F416F">
        <w:rPr>
          <w:szCs w:val="24"/>
        </w:rPr>
        <w:t>omplaint process</w:t>
      </w:r>
      <w:r w:rsidR="009707E1" w:rsidRPr="005F416F">
        <w:rPr>
          <w:szCs w:val="24"/>
        </w:rPr>
        <w:t xml:space="preserve"> under the </w:t>
      </w:r>
      <w:r w:rsidR="009707E1" w:rsidRPr="005F416F">
        <w:rPr>
          <w:szCs w:val="24"/>
        </w:rPr>
        <w:lastRenderedPageBreak/>
        <w:t>Unacceptable Behaviours Policy</w:t>
      </w:r>
      <w:r w:rsidRPr="005F416F">
        <w:rPr>
          <w:szCs w:val="24"/>
        </w:rPr>
        <w:t xml:space="preserve"> has </w:t>
      </w:r>
      <w:r w:rsidR="00E25AD2" w:rsidRPr="005F416F">
        <w:rPr>
          <w:szCs w:val="24"/>
        </w:rPr>
        <w:t>concluded</w:t>
      </w:r>
      <w:r w:rsidRPr="005F416F">
        <w:rPr>
          <w:szCs w:val="24"/>
        </w:rPr>
        <w:t xml:space="preserve">. </w:t>
      </w:r>
      <w:bookmarkEnd w:id="30"/>
      <w:r w:rsidR="006B2694" w:rsidRPr="005F416F">
        <w:rPr>
          <w:szCs w:val="24"/>
        </w:rPr>
        <w:t xml:space="preserve">Conclusion of the complaint process </w:t>
      </w:r>
      <w:r w:rsidR="00786438" w:rsidRPr="005F416F">
        <w:rPr>
          <w:szCs w:val="24"/>
        </w:rPr>
        <w:t xml:space="preserve">refers to </w:t>
      </w:r>
      <w:r w:rsidR="00A76AA9" w:rsidRPr="005F416F">
        <w:rPr>
          <w:szCs w:val="24"/>
        </w:rPr>
        <w:t xml:space="preserve">the point at which </w:t>
      </w:r>
      <w:r w:rsidR="00512F0D" w:rsidRPr="005F416F">
        <w:rPr>
          <w:szCs w:val="24"/>
        </w:rPr>
        <w:t>the</w:t>
      </w:r>
      <w:r w:rsidR="00786438" w:rsidRPr="005F416F">
        <w:rPr>
          <w:szCs w:val="24"/>
        </w:rPr>
        <w:t xml:space="preserve"> complaint is deemed inadmissible or the</w:t>
      </w:r>
      <w:r w:rsidR="00980776" w:rsidRPr="005F416F">
        <w:rPr>
          <w:szCs w:val="24"/>
        </w:rPr>
        <w:t xml:space="preserve"> publication of the report </w:t>
      </w:r>
      <w:r w:rsidR="00574A07" w:rsidRPr="005F416F">
        <w:rPr>
          <w:szCs w:val="24"/>
        </w:rPr>
        <w:t xml:space="preserve">by the Committee for Standards [and Privileges] </w:t>
      </w:r>
      <w:r w:rsidR="00980776" w:rsidRPr="005F416F">
        <w:rPr>
          <w:szCs w:val="24"/>
        </w:rPr>
        <w:t>following</w:t>
      </w:r>
      <w:r w:rsidR="00A76AA9" w:rsidRPr="005F416F">
        <w:rPr>
          <w:szCs w:val="24"/>
        </w:rPr>
        <w:t xml:space="preserve"> the conclusion of</w:t>
      </w:r>
      <w:r w:rsidR="00786438" w:rsidRPr="005F416F">
        <w:rPr>
          <w:szCs w:val="24"/>
        </w:rPr>
        <w:t xml:space="preserve"> </w:t>
      </w:r>
      <w:r w:rsidR="0051449F" w:rsidRPr="005F416F">
        <w:rPr>
          <w:szCs w:val="24"/>
        </w:rPr>
        <w:t xml:space="preserve">the </w:t>
      </w:r>
      <w:r w:rsidR="00980776" w:rsidRPr="005F416F">
        <w:rPr>
          <w:szCs w:val="24"/>
        </w:rPr>
        <w:t>investigation and adjudication process</w:t>
      </w:r>
      <w:r w:rsidR="00A76AA9" w:rsidRPr="005F416F">
        <w:rPr>
          <w:szCs w:val="24"/>
        </w:rPr>
        <w:t xml:space="preserve">. </w:t>
      </w:r>
      <w:r w:rsidR="00980776" w:rsidRPr="005F416F">
        <w:rPr>
          <w:szCs w:val="24"/>
        </w:rPr>
        <w:t xml:space="preserve"> </w:t>
      </w:r>
    </w:p>
    <w:p w14:paraId="3B89166A" w14:textId="77777777" w:rsidR="008D44D5" w:rsidRPr="005F416F" w:rsidRDefault="008D44D5" w:rsidP="00DF50E0">
      <w:pPr>
        <w:pStyle w:val="TitleClause"/>
        <w:rPr>
          <w:szCs w:val="24"/>
        </w:rPr>
      </w:pPr>
      <w:r w:rsidRPr="005F416F">
        <w:rPr>
          <w:szCs w:val="24"/>
        </w:rPr>
        <w:fldChar w:fldCharType="begin"/>
      </w:r>
      <w:r w:rsidRPr="005F416F">
        <w:rPr>
          <w:szCs w:val="24"/>
        </w:rPr>
        <w:instrText>TC "15. Entire agreement" \l 1</w:instrText>
      </w:r>
      <w:r w:rsidRPr="005F416F">
        <w:rPr>
          <w:szCs w:val="24"/>
        </w:rPr>
        <w:fldChar w:fldCharType="end"/>
      </w:r>
      <w:bookmarkStart w:id="31" w:name="_Toc256000014"/>
      <w:bookmarkStart w:id="32" w:name="a829753"/>
      <w:r w:rsidRPr="005F416F">
        <w:rPr>
          <w:szCs w:val="24"/>
        </w:rPr>
        <w:t>Entire agreement</w:t>
      </w:r>
      <w:bookmarkEnd w:id="31"/>
      <w:bookmarkEnd w:id="32"/>
    </w:p>
    <w:p w14:paraId="152DBBEC" w14:textId="77777777" w:rsidR="008D44D5" w:rsidRPr="005F416F" w:rsidRDefault="008D44D5" w:rsidP="00FC5706">
      <w:pPr>
        <w:pStyle w:val="Untitledsubclause1"/>
        <w:numPr>
          <w:ilvl w:val="0"/>
          <w:numId w:val="0"/>
        </w:numPr>
        <w:ind w:left="720"/>
        <w:rPr>
          <w:szCs w:val="24"/>
        </w:rPr>
      </w:pPr>
      <w:bookmarkStart w:id="33" w:name="a96787"/>
      <w:r w:rsidRPr="005F416F">
        <w:rPr>
          <w:szCs w:val="24"/>
        </w:rPr>
        <w:t>This agreement constitutes the entire agreement between the parties.</w:t>
      </w:r>
      <w:bookmarkEnd w:id="33"/>
    </w:p>
    <w:p w14:paraId="74A47E3C" w14:textId="77777777" w:rsidR="008D44D5" w:rsidRPr="005F416F" w:rsidRDefault="008D44D5" w:rsidP="00DF50E0">
      <w:pPr>
        <w:pStyle w:val="TitleClause"/>
        <w:rPr>
          <w:szCs w:val="24"/>
        </w:rPr>
      </w:pPr>
      <w:r w:rsidRPr="005F416F">
        <w:rPr>
          <w:szCs w:val="24"/>
        </w:rPr>
        <w:fldChar w:fldCharType="begin"/>
      </w:r>
      <w:r w:rsidRPr="005F416F">
        <w:rPr>
          <w:szCs w:val="24"/>
        </w:rPr>
        <w:instrText>TC "21. Governing law" \l 1</w:instrText>
      </w:r>
      <w:r w:rsidRPr="005F416F">
        <w:rPr>
          <w:szCs w:val="24"/>
        </w:rPr>
        <w:fldChar w:fldCharType="end"/>
      </w:r>
      <w:bookmarkStart w:id="34" w:name="_Toc256000020"/>
      <w:bookmarkStart w:id="35" w:name="a415007"/>
      <w:r w:rsidRPr="005F416F">
        <w:rPr>
          <w:szCs w:val="24"/>
        </w:rPr>
        <w:t>Governing law</w:t>
      </w:r>
      <w:bookmarkEnd w:id="34"/>
      <w:bookmarkEnd w:id="35"/>
    </w:p>
    <w:p w14:paraId="658BC5F2" w14:textId="3D827CD6" w:rsidR="008D44D5" w:rsidRPr="005F416F" w:rsidRDefault="008D44D5" w:rsidP="00DF50E0">
      <w:pPr>
        <w:pStyle w:val="NoNumUntitledsubclause1"/>
        <w:rPr>
          <w:szCs w:val="24"/>
        </w:rPr>
      </w:pPr>
      <w:bookmarkStart w:id="36" w:name="a800158"/>
      <w:r w:rsidRPr="005F416F">
        <w:rPr>
          <w:szCs w:val="24"/>
        </w:rPr>
        <w:t xml:space="preserve">This agreement and any dispute or claim (including non-contractual disputes or claims) arising out of or in connection with it or its subject matter or formation shall be governed by and construed in accordance with the law of </w:t>
      </w:r>
      <w:r w:rsidR="00741176" w:rsidRPr="005F416F">
        <w:rPr>
          <w:szCs w:val="24"/>
        </w:rPr>
        <w:t xml:space="preserve">Northern Ireland </w:t>
      </w:r>
      <w:r w:rsidRPr="005F416F">
        <w:rPr>
          <w:szCs w:val="24"/>
        </w:rPr>
        <w:t>.</w:t>
      </w:r>
      <w:bookmarkEnd w:id="36"/>
    </w:p>
    <w:p w14:paraId="3E35C262" w14:textId="77777777" w:rsidR="008D44D5" w:rsidRPr="005F416F" w:rsidRDefault="008D44D5" w:rsidP="00DF50E0">
      <w:pPr>
        <w:pStyle w:val="TitleClause"/>
        <w:rPr>
          <w:szCs w:val="24"/>
        </w:rPr>
      </w:pPr>
      <w:r w:rsidRPr="005F416F">
        <w:rPr>
          <w:szCs w:val="24"/>
        </w:rPr>
        <w:fldChar w:fldCharType="begin"/>
      </w:r>
      <w:r w:rsidRPr="005F416F">
        <w:rPr>
          <w:szCs w:val="24"/>
        </w:rPr>
        <w:instrText>TC "22. Jurisdiction" \l 1</w:instrText>
      </w:r>
      <w:r w:rsidRPr="005F416F">
        <w:rPr>
          <w:szCs w:val="24"/>
        </w:rPr>
        <w:fldChar w:fldCharType="end"/>
      </w:r>
      <w:bookmarkStart w:id="37" w:name="_Toc256000021"/>
      <w:bookmarkStart w:id="38" w:name="a852941"/>
      <w:r w:rsidRPr="005F416F">
        <w:rPr>
          <w:szCs w:val="24"/>
        </w:rPr>
        <w:t>Jurisdiction</w:t>
      </w:r>
      <w:bookmarkEnd w:id="37"/>
      <w:bookmarkEnd w:id="38"/>
    </w:p>
    <w:p w14:paraId="2F6F11E7" w14:textId="01019FAD" w:rsidR="008D44D5" w:rsidRPr="005F416F" w:rsidRDefault="008D44D5" w:rsidP="00DF50E0">
      <w:pPr>
        <w:pStyle w:val="NoNumUntitledsubclause1"/>
        <w:rPr>
          <w:szCs w:val="24"/>
        </w:rPr>
      </w:pPr>
      <w:bookmarkStart w:id="39" w:name="a774170"/>
      <w:r w:rsidRPr="005F416F">
        <w:rPr>
          <w:szCs w:val="24"/>
        </w:rPr>
        <w:t xml:space="preserve">Each party irrevocably agrees that the courts of </w:t>
      </w:r>
      <w:r w:rsidR="00741176" w:rsidRPr="005F416F">
        <w:rPr>
          <w:szCs w:val="24"/>
        </w:rPr>
        <w:t xml:space="preserve">Northern Ireland </w:t>
      </w:r>
      <w:r w:rsidRPr="005F416F">
        <w:rPr>
          <w:szCs w:val="24"/>
        </w:rPr>
        <w:t xml:space="preserve"> shall have exclusive jurisdiction to settle any dispute or claim (including non-contractual disputes or claims) arising out of or in connection with this agreement or its subject matter or formation.</w:t>
      </w:r>
      <w:bookmarkEnd w:id="39"/>
    </w:p>
    <w:p w14:paraId="785D1F36" w14:textId="0CE855FD" w:rsidR="00FC5706" w:rsidRPr="005F416F" w:rsidRDefault="008D44D5" w:rsidP="00A740D0">
      <w:pPr>
        <w:pStyle w:val="Testimonium"/>
        <w:rPr>
          <w:szCs w:val="24"/>
        </w:rPr>
      </w:pPr>
      <w:r w:rsidRPr="005F416F">
        <w:rPr>
          <w:szCs w:val="24"/>
        </w:rPr>
        <w:t>This agreement has been entered into on the date stated at the beginning of it.</w:t>
      </w:r>
    </w:p>
    <w:p w14:paraId="0C0CD341" w14:textId="77777777" w:rsidR="00A740D0" w:rsidRPr="005F416F" w:rsidRDefault="00A740D0" w:rsidP="00A740D0">
      <w:pPr>
        <w:pStyle w:val="Testimonium"/>
        <w:rPr>
          <w:szCs w:val="24"/>
        </w:rPr>
      </w:pPr>
    </w:p>
    <w:tbl>
      <w:tblPr>
        <w:tblStyle w:val="TableGrid"/>
        <w:tblW w:w="5000" w:type="pct"/>
        <w:tblBorders>
          <w:top w:val="nil"/>
          <w:left w:val="nil"/>
          <w:bottom w:val="nil"/>
          <w:right w:val="nil"/>
          <w:insideH w:val="nil"/>
          <w:insideV w:val="nil"/>
        </w:tblBorders>
        <w:tblLook w:val="04A0" w:firstRow="1" w:lastRow="0" w:firstColumn="1" w:lastColumn="0" w:noHBand="0" w:noVBand="1"/>
      </w:tblPr>
      <w:tblGrid>
        <w:gridCol w:w="3120"/>
        <w:gridCol w:w="3121"/>
        <w:gridCol w:w="3119"/>
      </w:tblGrid>
      <w:tr w:rsidR="00072310" w:rsidRPr="005F416F" w14:paraId="6BB90309" w14:textId="77777777" w:rsidTr="00145873">
        <w:tc>
          <w:tcPr>
            <w:tcW w:w="1667" w:type="pct"/>
            <w:tcBorders>
              <w:top w:val="nil"/>
              <w:left w:val="nil"/>
              <w:bottom w:val="nil"/>
              <w:right w:val="nil"/>
            </w:tcBorders>
            <w:shd w:val="clear" w:color="DDD9C3" w:fill="EEECE1"/>
          </w:tcPr>
          <w:p w14:paraId="1CB40BF2" w14:textId="4C4FD76E" w:rsidR="008D44D5" w:rsidRPr="005F416F" w:rsidRDefault="008D44D5" w:rsidP="00145873">
            <w:pPr>
              <w:pStyle w:val="Paragraph"/>
              <w:jc w:val="left"/>
              <w:rPr>
                <w:szCs w:val="24"/>
              </w:rPr>
            </w:pPr>
            <w:r w:rsidRPr="005F416F">
              <w:rPr>
                <w:szCs w:val="24"/>
              </w:rPr>
              <w:t>Signed by [</w:t>
            </w:r>
            <w:r w:rsidR="00F63079" w:rsidRPr="005F416F">
              <w:rPr>
                <w:szCs w:val="24"/>
              </w:rPr>
              <w:t xml:space="preserve">     </w:t>
            </w:r>
            <w:r w:rsidRPr="005F416F">
              <w:rPr>
                <w:szCs w:val="24"/>
              </w:rPr>
              <w:t>]</w:t>
            </w:r>
          </w:p>
        </w:tc>
        <w:tc>
          <w:tcPr>
            <w:tcW w:w="1667" w:type="pct"/>
            <w:tcBorders>
              <w:top w:val="nil"/>
              <w:left w:val="nil"/>
              <w:bottom w:val="nil"/>
              <w:right w:val="nil"/>
            </w:tcBorders>
            <w:shd w:val="clear" w:color="DDD9C3" w:fill="EEECE1"/>
          </w:tcPr>
          <w:p w14:paraId="423AF33E" w14:textId="77777777" w:rsidR="00072310" w:rsidRPr="00811D63" w:rsidRDefault="00072310">
            <w:pPr>
              <w:rPr>
                <w:rFonts w:ascii="Arial" w:hAnsi="Arial" w:cs="Arial"/>
              </w:rPr>
            </w:pPr>
          </w:p>
        </w:tc>
        <w:tc>
          <w:tcPr>
            <w:tcW w:w="1666" w:type="pct"/>
            <w:tcBorders>
              <w:top w:val="nil"/>
              <w:left w:val="nil"/>
              <w:bottom w:val="nil"/>
              <w:right w:val="nil"/>
            </w:tcBorders>
            <w:shd w:val="clear" w:color="DDD9C3" w:fill="EEECE1"/>
          </w:tcPr>
          <w:p w14:paraId="6A92716E" w14:textId="77777777" w:rsidR="008D44D5" w:rsidRPr="005F416F" w:rsidRDefault="008D44D5" w:rsidP="00145873">
            <w:pPr>
              <w:pStyle w:val="Paragraph"/>
              <w:jc w:val="left"/>
              <w:rPr>
                <w:szCs w:val="24"/>
              </w:rPr>
            </w:pPr>
            <w:r w:rsidRPr="005F416F">
              <w:rPr>
                <w:szCs w:val="24"/>
              </w:rPr>
              <w:t>....................</w:t>
            </w:r>
          </w:p>
          <w:p w14:paraId="0B61218F" w14:textId="77777777" w:rsidR="00F63079" w:rsidRPr="005F416F" w:rsidRDefault="00741176" w:rsidP="00145873">
            <w:pPr>
              <w:pStyle w:val="Paragraph"/>
              <w:jc w:val="left"/>
              <w:rPr>
                <w:szCs w:val="24"/>
              </w:rPr>
            </w:pPr>
            <w:r w:rsidRPr="005F416F">
              <w:rPr>
                <w:szCs w:val="24"/>
              </w:rPr>
              <w:t>[NAME]</w:t>
            </w:r>
            <w:r w:rsidR="00F63079" w:rsidRPr="005F416F">
              <w:rPr>
                <w:szCs w:val="24"/>
              </w:rPr>
              <w:t xml:space="preserve"> </w:t>
            </w:r>
          </w:p>
          <w:p w14:paraId="0F1675FC" w14:textId="27B950E5" w:rsidR="008D44D5" w:rsidRPr="005F416F" w:rsidRDefault="00F63079" w:rsidP="00145873">
            <w:pPr>
              <w:pStyle w:val="Paragraph"/>
              <w:jc w:val="left"/>
              <w:rPr>
                <w:szCs w:val="24"/>
              </w:rPr>
            </w:pPr>
            <w:r w:rsidRPr="005F416F">
              <w:rPr>
                <w:szCs w:val="24"/>
              </w:rPr>
              <w:t>Party 1</w:t>
            </w:r>
          </w:p>
        </w:tc>
      </w:tr>
      <w:tr w:rsidR="00072310" w:rsidRPr="005F416F" w14:paraId="1DD6B603" w14:textId="77777777" w:rsidTr="00145873">
        <w:tc>
          <w:tcPr>
            <w:tcW w:w="1667" w:type="pct"/>
            <w:tcBorders>
              <w:top w:val="nil"/>
              <w:left w:val="nil"/>
              <w:bottom w:val="nil"/>
              <w:right w:val="nil"/>
            </w:tcBorders>
            <w:shd w:val="clear" w:color="DDD9C3" w:fill="EEECE1"/>
          </w:tcPr>
          <w:p w14:paraId="33B65CD7" w14:textId="32660B67" w:rsidR="008D44D5" w:rsidRPr="005F416F" w:rsidRDefault="008D44D5" w:rsidP="00145873">
            <w:pPr>
              <w:pStyle w:val="Paragraph"/>
              <w:jc w:val="left"/>
              <w:rPr>
                <w:szCs w:val="24"/>
              </w:rPr>
            </w:pPr>
            <w:r w:rsidRPr="005F416F">
              <w:rPr>
                <w:szCs w:val="24"/>
              </w:rPr>
              <w:t>Signed by [</w:t>
            </w:r>
            <w:r w:rsidR="00F63079" w:rsidRPr="005F416F">
              <w:rPr>
                <w:szCs w:val="24"/>
              </w:rPr>
              <w:t xml:space="preserve">          </w:t>
            </w:r>
            <w:r w:rsidRPr="005F416F">
              <w:rPr>
                <w:szCs w:val="24"/>
              </w:rPr>
              <w:t>] for and on behalf of [</w:t>
            </w:r>
            <w:r w:rsidR="00741176" w:rsidRPr="005F416F">
              <w:rPr>
                <w:szCs w:val="24"/>
              </w:rPr>
              <w:t>the</w:t>
            </w:r>
            <w:r w:rsidR="00CD47B2" w:rsidRPr="005F416F">
              <w:rPr>
                <w:szCs w:val="24"/>
              </w:rPr>
              <w:t xml:space="preserve"> Northern Ireland Assembly Commissioner for Standards</w:t>
            </w:r>
            <w:r w:rsidRPr="005F416F">
              <w:rPr>
                <w:szCs w:val="24"/>
              </w:rPr>
              <w:t>]</w:t>
            </w:r>
          </w:p>
        </w:tc>
        <w:tc>
          <w:tcPr>
            <w:tcW w:w="1667" w:type="pct"/>
            <w:tcBorders>
              <w:top w:val="nil"/>
              <w:left w:val="nil"/>
              <w:bottom w:val="nil"/>
              <w:right w:val="nil"/>
            </w:tcBorders>
            <w:shd w:val="clear" w:color="DDD9C3" w:fill="EEECE1"/>
          </w:tcPr>
          <w:p w14:paraId="76148596" w14:textId="77777777" w:rsidR="00072310" w:rsidRPr="00811D63" w:rsidRDefault="00072310">
            <w:pPr>
              <w:rPr>
                <w:rFonts w:ascii="Arial" w:hAnsi="Arial" w:cs="Arial"/>
              </w:rPr>
            </w:pPr>
          </w:p>
        </w:tc>
        <w:tc>
          <w:tcPr>
            <w:tcW w:w="1666" w:type="pct"/>
            <w:tcBorders>
              <w:top w:val="nil"/>
              <w:left w:val="nil"/>
              <w:bottom w:val="nil"/>
              <w:right w:val="nil"/>
            </w:tcBorders>
            <w:shd w:val="clear" w:color="DDD9C3" w:fill="EEECE1"/>
          </w:tcPr>
          <w:p w14:paraId="0C55B166" w14:textId="77777777" w:rsidR="008D44D5" w:rsidRPr="005F416F" w:rsidRDefault="008D44D5" w:rsidP="00145873">
            <w:pPr>
              <w:pStyle w:val="Paragraph"/>
              <w:jc w:val="left"/>
              <w:rPr>
                <w:szCs w:val="24"/>
              </w:rPr>
            </w:pPr>
            <w:r w:rsidRPr="005F416F">
              <w:rPr>
                <w:szCs w:val="24"/>
              </w:rPr>
              <w:t>....................</w:t>
            </w:r>
          </w:p>
          <w:p w14:paraId="110E5E3F" w14:textId="77777777" w:rsidR="00F63079" w:rsidRPr="005F416F" w:rsidRDefault="00F63079" w:rsidP="00F63079">
            <w:pPr>
              <w:pStyle w:val="Paragraph"/>
              <w:jc w:val="left"/>
              <w:rPr>
                <w:szCs w:val="24"/>
              </w:rPr>
            </w:pPr>
            <w:r w:rsidRPr="005F416F">
              <w:rPr>
                <w:szCs w:val="24"/>
              </w:rPr>
              <w:t xml:space="preserve">[NAME] </w:t>
            </w:r>
          </w:p>
          <w:p w14:paraId="4E834ABB" w14:textId="597C7AB6" w:rsidR="00F63079" w:rsidRPr="005F416F" w:rsidRDefault="00F63079" w:rsidP="00145873">
            <w:pPr>
              <w:pStyle w:val="Paragraph"/>
              <w:jc w:val="left"/>
              <w:rPr>
                <w:szCs w:val="24"/>
              </w:rPr>
            </w:pPr>
            <w:r w:rsidRPr="005F416F">
              <w:rPr>
                <w:szCs w:val="24"/>
              </w:rPr>
              <w:t xml:space="preserve">Party 2 </w:t>
            </w:r>
          </w:p>
        </w:tc>
      </w:tr>
    </w:tbl>
    <w:p w14:paraId="51114EE8" w14:textId="77777777" w:rsidR="00072310" w:rsidRPr="006029B7" w:rsidRDefault="00072310">
      <w:pPr>
        <w:rPr>
          <w:rFonts w:ascii="Arial" w:hAnsi="Arial" w:cs="Arial"/>
        </w:rPr>
      </w:pPr>
    </w:p>
    <w:sectPr w:rsidR="00072310" w:rsidRPr="006029B7" w:rsidSect="00590645">
      <w:footerReference w:type="default" r:id="rId17"/>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C309D6" w14:textId="77777777" w:rsidR="00BD1261" w:rsidRDefault="00BD1261">
      <w:pPr>
        <w:spacing w:after="0" w:line="240" w:lineRule="auto"/>
      </w:pPr>
      <w:r>
        <w:separator/>
      </w:r>
    </w:p>
  </w:endnote>
  <w:endnote w:type="continuationSeparator" w:id="0">
    <w:p w14:paraId="0E840C2A" w14:textId="77777777" w:rsidR="00BD1261" w:rsidRDefault="00BD126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981611" w14:textId="77777777" w:rsidR="000821F6" w:rsidRDefault="000821F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1313F7" w14:textId="77777777" w:rsidR="000821F6" w:rsidRDefault="000821F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8AF91B" w14:textId="77777777" w:rsidR="000821F6" w:rsidRDefault="000821F6">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FA4B10" w14:textId="77777777" w:rsidR="00072310" w:rsidRDefault="008D44D5">
    <w:pPr>
      <w:jc w:val="center"/>
    </w:pPr>
    <w:r>
      <w:fldChar w:fldCharType="begin"/>
    </w:r>
    <w:r>
      <w:instrText>PAGE</w:instrText>
    </w:r>
    <w:r>
      <w:fldChar w:fldCharType="separate"/>
    </w:r>
    <w:r>
      <w:t>15</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644164" w14:textId="77777777" w:rsidR="00BD1261" w:rsidRDefault="00BD1261">
      <w:pPr>
        <w:spacing w:after="0" w:line="240" w:lineRule="auto"/>
      </w:pPr>
      <w:r>
        <w:separator/>
      </w:r>
    </w:p>
  </w:footnote>
  <w:footnote w:type="continuationSeparator" w:id="0">
    <w:p w14:paraId="27D77820" w14:textId="77777777" w:rsidR="00BD1261" w:rsidRDefault="00BD126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55CC58" w14:textId="77777777" w:rsidR="000821F6" w:rsidRDefault="000821F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0B2BC5" w14:textId="77777777" w:rsidR="000821F6" w:rsidRDefault="000821F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A796E0" w14:textId="77777777" w:rsidR="000821F6" w:rsidRDefault="000821F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49A4F02"/>
    <w:lvl w:ilvl="0">
      <w:start w:val="1"/>
      <w:numFmt w:val="decimal"/>
      <w:lvlText w:val="%1."/>
      <w:lvlJc w:val="left"/>
      <w:pPr>
        <w:tabs>
          <w:tab w:val="num" w:pos="1492"/>
        </w:tabs>
        <w:ind w:left="1492" w:hanging="360"/>
      </w:pPr>
      <w:rPr>
        <w:color w:val="000000"/>
      </w:rPr>
    </w:lvl>
  </w:abstractNum>
  <w:abstractNum w:abstractNumId="1" w15:restartNumberingAfterBreak="0">
    <w:nsid w:val="FFFFFF7D"/>
    <w:multiLevelType w:val="singleLevel"/>
    <w:tmpl w:val="C6E601EA"/>
    <w:lvl w:ilvl="0">
      <w:start w:val="1"/>
      <w:numFmt w:val="decimal"/>
      <w:lvlText w:val="%1."/>
      <w:lvlJc w:val="left"/>
      <w:pPr>
        <w:tabs>
          <w:tab w:val="num" w:pos="1209"/>
        </w:tabs>
        <w:ind w:left="1209" w:hanging="360"/>
      </w:pPr>
      <w:rPr>
        <w:color w:val="000000"/>
      </w:rPr>
    </w:lvl>
  </w:abstractNum>
  <w:abstractNum w:abstractNumId="2" w15:restartNumberingAfterBreak="0">
    <w:nsid w:val="FFFFFF7E"/>
    <w:multiLevelType w:val="singleLevel"/>
    <w:tmpl w:val="34DC4BC2"/>
    <w:lvl w:ilvl="0">
      <w:start w:val="1"/>
      <w:numFmt w:val="decimal"/>
      <w:lvlText w:val="%1."/>
      <w:lvlJc w:val="left"/>
      <w:pPr>
        <w:tabs>
          <w:tab w:val="num" w:pos="926"/>
        </w:tabs>
        <w:ind w:left="926" w:hanging="360"/>
      </w:pPr>
      <w:rPr>
        <w:color w:val="000000"/>
      </w:rPr>
    </w:lvl>
  </w:abstractNum>
  <w:abstractNum w:abstractNumId="3" w15:restartNumberingAfterBreak="0">
    <w:nsid w:val="FFFFFF7F"/>
    <w:multiLevelType w:val="singleLevel"/>
    <w:tmpl w:val="43686E84"/>
    <w:lvl w:ilvl="0">
      <w:start w:val="1"/>
      <w:numFmt w:val="decimal"/>
      <w:lvlText w:val="%1."/>
      <w:lvlJc w:val="left"/>
      <w:pPr>
        <w:tabs>
          <w:tab w:val="num" w:pos="643"/>
        </w:tabs>
        <w:ind w:left="643" w:hanging="360"/>
      </w:pPr>
      <w:rPr>
        <w:color w:val="000000"/>
      </w:rPr>
    </w:lvl>
  </w:abstractNum>
  <w:abstractNum w:abstractNumId="4" w15:restartNumberingAfterBreak="0">
    <w:nsid w:val="FFFFFF80"/>
    <w:multiLevelType w:val="singleLevel"/>
    <w:tmpl w:val="0D92DB3C"/>
    <w:lvl w:ilvl="0">
      <w:start w:val="1"/>
      <w:numFmt w:val="bullet"/>
      <w:lvlText w:val=""/>
      <w:lvlJc w:val="left"/>
      <w:pPr>
        <w:tabs>
          <w:tab w:val="num" w:pos="1492"/>
        </w:tabs>
        <w:ind w:left="1492" w:hanging="360"/>
      </w:pPr>
      <w:rPr>
        <w:rFonts w:ascii="Symbol" w:hAnsi="Symbol" w:hint="default"/>
        <w:color w:val="000000"/>
      </w:rPr>
    </w:lvl>
  </w:abstractNum>
  <w:abstractNum w:abstractNumId="5" w15:restartNumberingAfterBreak="0">
    <w:nsid w:val="FFFFFF81"/>
    <w:multiLevelType w:val="singleLevel"/>
    <w:tmpl w:val="85F44696"/>
    <w:lvl w:ilvl="0">
      <w:start w:val="1"/>
      <w:numFmt w:val="bullet"/>
      <w:lvlText w:val=""/>
      <w:lvlJc w:val="left"/>
      <w:pPr>
        <w:tabs>
          <w:tab w:val="num" w:pos="1209"/>
        </w:tabs>
        <w:ind w:left="1209" w:hanging="360"/>
      </w:pPr>
      <w:rPr>
        <w:rFonts w:ascii="Symbol" w:hAnsi="Symbol" w:hint="default"/>
        <w:color w:val="000000"/>
      </w:rPr>
    </w:lvl>
  </w:abstractNum>
  <w:abstractNum w:abstractNumId="6" w15:restartNumberingAfterBreak="0">
    <w:nsid w:val="FFFFFF82"/>
    <w:multiLevelType w:val="singleLevel"/>
    <w:tmpl w:val="F080F8D4"/>
    <w:lvl w:ilvl="0">
      <w:start w:val="1"/>
      <w:numFmt w:val="bullet"/>
      <w:lvlText w:val=""/>
      <w:lvlJc w:val="left"/>
      <w:pPr>
        <w:tabs>
          <w:tab w:val="num" w:pos="926"/>
        </w:tabs>
        <w:ind w:left="926" w:hanging="360"/>
      </w:pPr>
      <w:rPr>
        <w:rFonts w:ascii="Symbol" w:hAnsi="Symbol" w:hint="default"/>
        <w:color w:val="000000"/>
      </w:rPr>
    </w:lvl>
  </w:abstractNum>
  <w:abstractNum w:abstractNumId="7" w15:restartNumberingAfterBreak="0">
    <w:nsid w:val="FFFFFF83"/>
    <w:multiLevelType w:val="singleLevel"/>
    <w:tmpl w:val="12942782"/>
    <w:lvl w:ilvl="0">
      <w:start w:val="1"/>
      <w:numFmt w:val="bullet"/>
      <w:lvlText w:val=""/>
      <w:lvlJc w:val="left"/>
      <w:pPr>
        <w:tabs>
          <w:tab w:val="num" w:pos="643"/>
        </w:tabs>
        <w:ind w:left="643" w:hanging="360"/>
      </w:pPr>
      <w:rPr>
        <w:rFonts w:ascii="Symbol" w:hAnsi="Symbol" w:hint="default"/>
        <w:color w:val="000000"/>
      </w:rPr>
    </w:lvl>
  </w:abstractNum>
  <w:abstractNum w:abstractNumId="8" w15:restartNumberingAfterBreak="0">
    <w:nsid w:val="FFFFFF88"/>
    <w:multiLevelType w:val="singleLevel"/>
    <w:tmpl w:val="BAF24A50"/>
    <w:lvl w:ilvl="0">
      <w:start w:val="1"/>
      <w:numFmt w:val="decimal"/>
      <w:lvlText w:val="%1."/>
      <w:lvlJc w:val="left"/>
      <w:pPr>
        <w:tabs>
          <w:tab w:val="num" w:pos="360"/>
        </w:tabs>
        <w:ind w:left="360" w:hanging="360"/>
      </w:pPr>
      <w:rPr>
        <w:color w:val="000000"/>
      </w:rPr>
    </w:lvl>
  </w:abstractNum>
  <w:abstractNum w:abstractNumId="9" w15:restartNumberingAfterBreak="0">
    <w:nsid w:val="FFFFFF89"/>
    <w:multiLevelType w:val="singleLevel"/>
    <w:tmpl w:val="0D0CEAF4"/>
    <w:lvl w:ilvl="0">
      <w:start w:val="1"/>
      <w:numFmt w:val="bullet"/>
      <w:lvlText w:val=""/>
      <w:lvlJc w:val="left"/>
      <w:pPr>
        <w:tabs>
          <w:tab w:val="num" w:pos="360"/>
        </w:tabs>
        <w:ind w:left="360" w:hanging="360"/>
      </w:pPr>
      <w:rPr>
        <w:rFonts w:ascii="Symbol" w:hAnsi="Symbol" w:hint="default"/>
        <w:color w:val="000000"/>
      </w:rPr>
    </w:lvl>
  </w:abstractNum>
  <w:abstractNum w:abstractNumId="10" w15:restartNumberingAfterBreak="0">
    <w:nsid w:val="02814D04"/>
    <w:multiLevelType w:val="multilevel"/>
    <w:tmpl w:val="E6D621B4"/>
    <w:lvl w:ilvl="0">
      <w:start w:val="1"/>
      <w:numFmt w:val="decimal"/>
      <w:pStyle w:val="TitleClause"/>
      <w:lvlText w:val="%1."/>
      <w:lvlJc w:val="left"/>
      <w:pPr>
        <w:tabs>
          <w:tab w:val="num" w:pos="720"/>
        </w:tabs>
        <w:ind w:left="720" w:hanging="720"/>
      </w:pPr>
      <w:rPr>
        <w:rFonts w:hint="default"/>
        <w:color w:val="000000"/>
      </w:rPr>
    </w:lvl>
    <w:lvl w:ilvl="1">
      <w:start w:val="1"/>
      <w:numFmt w:val="decimal"/>
      <w:pStyle w:val="Untitledsubclause1"/>
      <w:lvlText w:val="%1.%2"/>
      <w:lvlJc w:val="left"/>
      <w:pPr>
        <w:tabs>
          <w:tab w:val="num" w:pos="720"/>
        </w:tabs>
        <w:ind w:left="720" w:hanging="720"/>
      </w:pPr>
      <w:rPr>
        <w:rFonts w:hint="default"/>
        <w:color w:val="000000"/>
      </w:rPr>
    </w:lvl>
    <w:lvl w:ilvl="2">
      <w:start w:val="1"/>
      <w:numFmt w:val="lowerLetter"/>
      <w:pStyle w:val="Untitledsubclause2"/>
      <w:lvlText w:val="(%3)"/>
      <w:lvlJc w:val="left"/>
      <w:pPr>
        <w:tabs>
          <w:tab w:val="num" w:pos="1555"/>
        </w:tabs>
        <w:ind w:left="1555" w:hanging="561"/>
      </w:pPr>
      <w:rPr>
        <w:rFonts w:hint="default"/>
        <w:color w:val="000000"/>
      </w:rPr>
    </w:lvl>
    <w:lvl w:ilvl="3">
      <w:start w:val="1"/>
      <w:numFmt w:val="lowerRoman"/>
      <w:pStyle w:val="Untitledsubclause3"/>
      <w:lvlText w:val="(%4)"/>
      <w:lvlJc w:val="left"/>
      <w:pPr>
        <w:tabs>
          <w:tab w:val="num" w:pos="2419"/>
        </w:tabs>
        <w:ind w:left="2275" w:hanging="576"/>
      </w:pPr>
      <w:rPr>
        <w:rFonts w:hint="default"/>
        <w:color w:val="000000"/>
        <w:sz w:val="20"/>
      </w:rPr>
    </w:lvl>
    <w:lvl w:ilvl="4">
      <w:start w:val="1"/>
      <w:numFmt w:val="upperLetter"/>
      <w:pStyle w:val="Untitledsubclause4"/>
      <w:lvlText w:val="(%5)"/>
      <w:lvlJc w:val="left"/>
      <w:pPr>
        <w:tabs>
          <w:tab w:val="num" w:pos="2880"/>
        </w:tabs>
        <w:ind w:left="2880" w:hanging="72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 w15:restartNumberingAfterBreak="0">
    <w:nsid w:val="07253412"/>
    <w:multiLevelType w:val="hybridMultilevel"/>
    <w:tmpl w:val="960CC850"/>
    <w:lvl w:ilvl="0" w:tplc="F312C194">
      <w:start w:val="1"/>
      <w:numFmt w:val="bullet"/>
      <w:pStyle w:val="DefinedTermBullet"/>
      <w:lvlText w:val=""/>
      <w:lvlJc w:val="left"/>
      <w:pPr>
        <w:ind w:left="1440" w:hanging="360"/>
      </w:pPr>
      <w:rPr>
        <w:rFonts w:ascii="Symbol" w:hAnsi="Symbol" w:hint="default"/>
        <w:color w:val="000000"/>
      </w:rPr>
    </w:lvl>
    <w:lvl w:ilvl="1" w:tplc="FD5C6C7A" w:tentative="1">
      <w:start w:val="1"/>
      <w:numFmt w:val="bullet"/>
      <w:lvlText w:val="o"/>
      <w:lvlJc w:val="left"/>
      <w:pPr>
        <w:ind w:left="2160" w:hanging="360"/>
      </w:pPr>
      <w:rPr>
        <w:rFonts w:ascii="Courier New" w:hAnsi="Courier New" w:cs="Courier New" w:hint="default"/>
      </w:rPr>
    </w:lvl>
    <w:lvl w:ilvl="2" w:tplc="002AB00C" w:tentative="1">
      <w:start w:val="1"/>
      <w:numFmt w:val="bullet"/>
      <w:lvlText w:val=""/>
      <w:lvlJc w:val="left"/>
      <w:pPr>
        <w:ind w:left="2880" w:hanging="360"/>
      </w:pPr>
      <w:rPr>
        <w:rFonts w:ascii="Wingdings" w:hAnsi="Wingdings" w:hint="default"/>
      </w:rPr>
    </w:lvl>
    <w:lvl w:ilvl="3" w:tplc="47084A0E" w:tentative="1">
      <w:start w:val="1"/>
      <w:numFmt w:val="bullet"/>
      <w:lvlText w:val=""/>
      <w:lvlJc w:val="left"/>
      <w:pPr>
        <w:ind w:left="3600" w:hanging="360"/>
      </w:pPr>
      <w:rPr>
        <w:rFonts w:ascii="Symbol" w:hAnsi="Symbol" w:hint="default"/>
      </w:rPr>
    </w:lvl>
    <w:lvl w:ilvl="4" w:tplc="5924430C" w:tentative="1">
      <w:start w:val="1"/>
      <w:numFmt w:val="bullet"/>
      <w:lvlText w:val="o"/>
      <w:lvlJc w:val="left"/>
      <w:pPr>
        <w:ind w:left="4320" w:hanging="360"/>
      </w:pPr>
      <w:rPr>
        <w:rFonts w:ascii="Courier New" w:hAnsi="Courier New" w:cs="Courier New" w:hint="default"/>
      </w:rPr>
    </w:lvl>
    <w:lvl w:ilvl="5" w:tplc="BA0295FC" w:tentative="1">
      <w:start w:val="1"/>
      <w:numFmt w:val="bullet"/>
      <w:lvlText w:val=""/>
      <w:lvlJc w:val="left"/>
      <w:pPr>
        <w:ind w:left="5040" w:hanging="360"/>
      </w:pPr>
      <w:rPr>
        <w:rFonts w:ascii="Wingdings" w:hAnsi="Wingdings" w:hint="default"/>
      </w:rPr>
    </w:lvl>
    <w:lvl w:ilvl="6" w:tplc="5C6AB2EE" w:tentative="1">
      <w:start w:val="1"/>
      <w:numFmt w:val="bullet"/>
      <w:lvlText w:val=""/>
      <w:lvlJc w:val="left"/>
      <w:pPr>
        <w:ind w:left="5760" w:hanging="360"/>
      </w:pPr>
      <w:rPr>
        <w:rFonts w:ascii="Symbol" w:hAnsi="Symbol" w:hint="default"/>
      </w:rPr>
    </w:lvl>
    <w:lvl w:ilvl="7" w:tplc="CF020438" w:tentative="1">
      <w:start w:val="1"/>
      <w:numFmt w:val="bullet"/>
      <w:lvlText w:val="o"/>
      <w:lvlJc w:val="left"/>
      <w:pPr>
        <w:ind w:left="6480" w:hanging="360"/>
      </w:pPr>
      <w:rPr>
        <w:rFonts w:ascii="Courier New" w:hAnsi="Courier New" w:cs="Courier New" w:hint="default"/>
      </w:rPr>
    </w:lvl>
    <w:lvl w:ilvl="8" w:tplc="53D44B8C" w:tentative="1">
      <w:start w:val="1"/>
      <w:numFmt w:val="bullet"/>
      <w:lvlText w:val=""/>
      <w:lvlJc w:val="left"/>
      <w:pPr>
        <w:ind w:left="7200" w:hanging="360"/>
      </w:pPr>
      <w:rPr>
        <w:rFonts w:ascii="Wingdings" w:hAnsi="Wingdings" w:hint="default"/>
      </w:rPr>
    </w:lvl>
  </w:abstractNum>
  <w:abstractNum w:abstractNumId="12" w15:restartNumberingAfterBreak="0">
    <w:nsid w:val="07D059AD"/>
    <w:multiLevelType w:val="hybridMultilevel"/>
    <w:tmpl w:val="340AB914"/>
    <w:lvl w:ilvl="0" w:tplc="B36CDD58">
      <w:start w:val="1"/>
      <w:numFmt w:val="lowerLetter"/>
      <w:lvlText w:val="%1)"/>
      <w:lvlJc w:val="left"/>
      <w:pPr>
        <w:ind w:left="1714" w:hanging="360"/>
      </w:pPr>
      <w:rPr>
        <w:color w:val="000000"/>
      </w:rPr>
    </w:lvl>
    <w:lvl w:ilvl="1" w:tplc="2CFABCBA" w:tentative="1">
      <w:start w:val="1"/>
      <w:numFmt w:val="lowerLetter"/>
      <w:lvlText w:val="%2."/>
      <w:lvlJc w:val="left"/>
      <w:pPr>
        <w:ind w:left="2434" w:hanging="360"/>
      </w:pPr>
    </w:lvl>
    <w:lvl w:ilvl="2" w:tplc="E06C5448" w:tentative="1">
      <w:start w:val="1"/>
      <w:numFmt w:val="lowerRoman"/>
      <w:lvlText w:val="%3."/>
      <w:lvlJc w:val="right"/>
      <w:pPr>
        <w:ind w:left="3154" w:hanging="180"/>
      </w:pPr>
    </w:lvl>
    <w:lvl w:ilvl="3" w:tplc="CEFC4DE8" w:tentative="1">
      <w:start w:val="1"/>
      <w:numFmt w:val="decimal"/>
      <w:lvlText w:val="%4."/>
      <w:lvlJc w:val="left"/>
      <w:pPr>
        <w:ind w:left="3874" w:hanging="360"/>
      </w:pPr>
    </w:lvl>
    <w:lvl w:ilvl="4" w:tplc="105611B6" w:tentative="1">
      <w:start w:val="1"/>
      <w:numFmt w:val="lowerLetter"/>
      <w:lvlText w:val="%5."/>
      <w:lvlJc w:val="left"/>
      <w:pPr>
        <w:ind w:left="4594" w:hanging="360"/>
      </w:pPr>
    </w:lvl>
    <w:lvl w:ilvl="5" w:tplc="DC50884E" w:tentative="1">
      <w:start w:val="1"/>
      <w:numFmt w:val="lowerRoman"/>
      <w:lvlText w:val="%6."/>
      <w:lvlJc w:val="right"/>
      <w:pPr>
        <w:ind w:left="5314" w:hanging="180"/>
      </w:pPr>
    </w:lvl>
    <w:lvl w:ilvl="6" w:tplc="C09A7B2C" w:tentative="1">
      <w:start w:val="1"/>
      <w:numFmt w:val="decimal"/>
      <w:lvlText w:val="%7."/>
      <w:lvlJc w:val="left"/>
      <w:pPr>
        <w:ind w:left="6034" w:hanging="360"/>
      </w:pPr>
    </w:lvl>
    <w:lvl w:ilvl="7" w:tplc="D15AE724" w:tentative="1">
      <w:start w:val="1"/>
      <w:numFmt w:val="lowerLetter"/>
      <w:lvlText w:val="%8."/>
      <w:lvlJc w:val="left"/>
      <w:pPr>
        <w:ind w:left="6754" w:hanging="360"/>
      </w:pPr>
    </w:lvl>
    <w:lvl w:ilvl="8" w:tplc="E01E6F2A" w:tentative="1">
      <w:start w:val="1"/>
      <w:numFmt w:val="lowerRoman"/>
      <w:lvlText w:val="%9."/>
      <w:lvlJc w:val="right"/>
      <w:pPr>
        <w:ind w:left="7474" w:hanging="180"/>
      </w:pPr>
    </w:lvl>
  </w:abstractNum>
  <w:abstractNum w:abstractNumId="13" w15:restartNumberingAfterBreak="0">
    <w:nsid w:val="0DEB2104"/>
    <w:multiLevelType w:val="multilevel"/>
    <w:tmpl w:val="26B41F5A"/>
    <w:lvl w:ilvl="0">
      <w:start w:val="1"/>
      <w:numFmt w:val="decimal"/>
      <w:lvlText w:val="Schedule %1"/>
      <w:lvlJc w:val="left"/>
      <w:pPr>
        <w:ind w:left="360" w:hanging="360"/>
      </w:pPr>
      <w:rPr>
        <w:rFonts w:hint="default"/>
        <w:color w:val="000000"/>
        <w:lang w:val="en-GB"/>
      </w:rPr>
    </w:lvl>
    <w:lvl w:ilvl="1">
      <w:start w:val="1"/>
      <w:numFmt w:val="decimal"/>
      <w:lvlText w:val="Part %2"/>
      <w:lvlJc w:val="left"/>
      <w:pPr>
        <w:ind w:left="357" w:hanging="357"/>
      </w:pPr>
      <w:rPr>
        <w:rFonts w:hint="default"/>
      </w:rPr>
    </w:lvl>
    <w:lvl w:ilvl="2">
      <w:start w:val="1"/>
      <w:numFmt w:val="decimal"/>
      <w:lvlText w:val="%3."/>
      <w:lvlJc w:val="left"/>
      <w:pPr>
        <w:ind w:left="357" w:hanging="357"/>
      </w:pPr>
      <w:rPr>
        <w:rFonts w:hint="default"/>
      </w:rPr>
    </w:lvl>
    <w:lvl w:ilvl="3">
      <w:start w:val="1"/>
      <w:numFmt w:val="decimal"/>
      <w:lvlRestart w:val="2"/>
      <w:lvlText w:val="%3.%4"/>
      <w:lvlJc w:val="left"/>
      <w:pPr>
        <w:tabs>
          <w:tab w:val="num" w:pos="357"/>
        </w:tabs>
        <w:ind w:left="357" w:hanging="357"/>
      </w:pPr>
      <w:rPr>
        <w:rFonts w:hint="default"/>
      </w:rPr>
    </w:lvl>
    <w:lvl w:ilvl="4">
      <w:start w:val="1"/>
      <w:numFmt w:val="lowerLetter"/>
      <w:lvlText w:val="(%5)"/>
      <w:lvlJc w:val="left"/>
      <w:pPr>
        <w:ind w:left="1775" w:hanging="703"/>
      </w:pPr>
      <w:rPr>
        <w:rFonts w:hint="default"/>
      </w:rPr>
    </w:lvl>
    <w:lvl w:ilvl="5">
      <w:start w:val="1"/>
      <w:numFmt w:val="lowerRoman"/>
      <w:lvlText w:val="(%6)"/>
      <w:lvlJc w:val="left"/>
      <w:pPr>
        <w:ind w:left="2381" w:hanging="60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15:restartNumberingAfterBreak="0">
    <w:nsid w:val="11825EA9"/>
    <w:multiLevelType w:val="multilevel"/>
    <w:tmpl w:val="B5EA651E"/>
    <w:lvl w:ilvl="0">
      <w:start w:val="1"/>
      <w:numFmt w:val="decimal"/>
      <w:pStyle w:val="Schedule"/>
      <w:lvlText w:val="Schedule %1"/>
      <w:lvlJc w:val="left"/>
      <w:pPr>
        <w:ind w:left="360" w:hanging="360"/>
      </w:pPr>
      <w:rPr>
        <w:rFonts w:hint="default"/>
        <w:color w:val="000000"/>
      </w:rPr>
    </w:lvl>
    <w:lvl w:ilvl="1">
      <w:start w:val="1"/>
      <w:numFmt w:val="decimal"/>
      <w:pStyle w:val="Part"/>
      <w:lvlText w:val="Part %2"/>
      <w:lvlJc w:val="left"/>
      <w:pPr>
        <w:ind w:left="357" w:hanging="357"/>
      </w:pPr>
      <w:rPr>
        <w:rFonts w:hint="default"/>
      </w:rPr>
    </w:lvl>
    <w:lvl w:ilvl="2">
      <w:start w:val="1"/>
      <w:numFmt w:val="decimal"/>
      <w:pStyle w:val="ScheduleTitleClause"/>
      <w:lvlText w:val="%3."/>
      <w:lvlJc w:val="left"/>
      <w:pPr>
        <w:tabs>
          <w:tab w:val="num" w:pos="720"/>
        </w:tabs>
        <w:ind w:left="720" w:hanging="720"/>
      </w:pPr>
      <w:rPr>
        <w:rFonts w:hint="default"/>
      </w:rPr>
    </w:lvl>
    <w:lvl w:ilvl="3">
      <w:start w:val="1"/>
      <w:numFmt w:val="decimal"/>
      <w:pStyle w:val="ScheduleUntitledsubclause1"/>
      <w:lvlText w:val="%3.%4"/>
      <w:lvlJc w:val="left"/>
      <w:pPr>
        <w:tabs>
          <w:tab w:val="num" w:pos="720"/>
        </w:tabs>
        <w:ind w:left="720" w:hanging="720"/>
      </w:pPr>
      <w:rPr>
        <w:rFonts w:hint="default"/>
      </w:rPr>
    </w:lvl>
    <w:lvl w:ilvl="4">
      <w:start w:val="1"/>
      <w:numFmt w:val="lowerLetter"/>
      <w:pStyle w:val="ScheduleUntitledsubclause2"/>
      <w:lvlText w:val="(%5)"/>
      <w:lvlJc w:val="left"/>
      <w:pPr>
        <w:tabs>
          <w:tab w:val="num" w:pos="1555"/>
        </w:tabs>
        <w:ind w:left="1555" w:hanging="561"/>
      </w:pPr>
      <w:rPr>
        <w:rFonts w:hint="default"/>
      </w:rPr>
    </w:lvl>
    <w:lvl w:ilvl="5">
      <w:start w:val="1"/>
      <w:numFmt w:val="lowerRoman"/>
      <w:pStyle w:val="ScheduleUntitledsubclause3"/>
      <w:lvlText w:val="(%6)"/>
      <w:lvlJc w:val="left"/>
      <w:pPr>
        <w:tabs>
          <w:tab w:val="num" w:pos="2419"/>
        </w:tabs>
        <w:ind w:left="2275" w:hanging="576"/>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15:restartNumberingAfterBreak="0">
    <w:nsid w:val="164E63F9"/>
    <w:multiLevelType w:val="hybridMultilevel"/>
    <w:tmpl w:val="F9EEB024"/>
    <w:lvl w:ilvl="0" w:tplc="C3647F22">
      <w:start w:val="1"/>
      <w:numFmt w:val="decimal"/>
      <w:lvlText w:val="Schedule %1"/>
      <w:lvlJc w:val="left"/>
      <w:pPr>
        <w:ind w:left="720" w:hanging="360"/>
      </w:pPr>
      <w:rPr>
        <w:rFonts w:hint="default"/>
        <w:color w:val="000000"/>
      </w:rPr>
    </w:lvl>
    <w:lvl w:ilvl="1" w:tplc="A8A42062" w:tentative="1">
      <w:start w:val="1"/>
      <w:numFmt w:val="lowerLetter"/>
      <w:lvlText w:val="%2."/>
      <w:lvlJc w:val="left"/>
      <w:pPr>
        <w:ind w:left="1440" w:hanging="360"/>
      </w:pPr>
    </w:lvl>
    <w:lvl w:ilvl="2" w:tplc="AEDA77FC" w:tentative="1">
      <w:start w:val="1"/>
      <w:numFmt w:val="lowerRoman"/>
      <w:lvlText w:val="%3."/>
      <w:lvlJc w:val="right"/>
      <w:pPr>
        <w:ind w:left="2160" w:hanging="180"/>
      </w:pPr>
    </w:lvl>
    <w:lvl w:ilvl="3" w:tplc="5AA8558E" w:tentative="1">
      <w:start w:val="1"/>
      <w:numFmt w:val="decimal"/>
      <w:lvlText w:val="%4."/>
      <w:lvlJc w:val="left"/>
      <w:pPr>
        <w:ind w:left="2880" w:hanging="360"/>
      </w:pPr>
    </w:lvl>
    <w:lvl w:ilvl="4" w:tplc="9DB25640" w:tentative="1">
      <w:start w:val="1"/>
      <w:numFmt w:val="lowerLetter"/>
      <w:lvlText w:val="%5."/>
      <w:lvlJc w:val="left"/>
      <w:pPr>
        <w:ind w:left="3600" w:hanging="360"/>
      </w:pPr>
    </w:lvl>
    <w:lvl w:ilvl="5" w:tplc="2D1E5D8E" w:tentative="1">
      <w:start w:val="1"/>
      <w:numFmt w:val="lowerRoman"/>
      <w:lvlText w:val="%6."/>
      <w:lvlJc w:val="right"/>
      <w:pPr>
        <w:ind w:left="4320" w:hanging="180"/>
      </w:pPr>
    </w:lvl>
    <w:lvl w:ilvl="6" w:tplc="A278577A" w:tentative="1">
      <w:start w:val="1"/>
      <w:numFmt w:val="decimal"/>
      <w:lvlText w:val="%7."/>
      <w:lvlJc w:val="left"/>
      <w:pPr>
        <w:ind w:left="5040" w:hanging="360"/>
      </w:pPr>
    </w:lvl>
    <w:lvl w:ilvl="7" w:tplc="5608FAFE" w:tentative="1">
      <w:start w:val="1"/>
      <w:numFmt w:val="lowerLetter"/>
      <w:lvlText w:val="%8."/>
      <w:lvlJc w:val="left"/>
      <w:pPr>
        <w:ind w:left="5760" w:hanging="360"/>
      </w:pPr>
    </w:lvl>
    <w:lvl w:ilvl="8" w:tplc="6AFCCC90" w:tentative="1">
      <w:start w:val="1"/>
      <w:numFmt w:val="lowerRoman"/>
      <w:lvlText w:val="%9."/>
      <w:lvlJc w:val="right"/>
      <w:pPr>
        <w:ind w:left="6480" w:hanging="180"/>
      </w:pPr>
    </w:lvl>
  </w:abstractNum>
  <w:abstractNum w:abstractNumId="16" w15:restartNumberingAfterBreak="0">
    <w:nsid w:val="1D3F3B38"/>
    <w:multiLevelType w:val="multilevel"/>
    <w:tmpl w:val="423A209A"/>
    <w:lvl w:ilvl="0">
      <w:start w:val="1"/>
      <w:numFmt w:val="bullet"/>
      <w:lvlText w:val=""/>
      <w:lvlJc w:val="left"/>
      <w:pPr>
        <w:tabs>
          <w:tab w:val="num" w:pos="720"/>
        </w:tabs>
        <w:ind w:left="720" w:hanging="360"/>
      </w:pPr>
      <w:rPr>
        <w:rFonts w:ascii="Symbol" w:hAnsi="Symbol" w:hint="default"/>
        <w:color w:val="000000"/>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0E82F3A"/>
    <w:multiLevelType w:val="hybridMultilevel"/>
    <w:tmpl w:val="1DF80854"/>
    <w:lvl w:ilvl="0" w:tplc="3FE22BEE">
      <w:start w:val="1"/>
      <w:numFmt w:val="decimal"/>
      <w:pStyle w:val="ScheduleHeading-Single"/>
      <w:lvlText w:val="Schedule"/>
      <w:lvlJc w:val="left"/>
      <w:pPr>
        <w:tabs>
          <w:tab w:val="num" w:pos="720"/>
        </w:tabs>
        <w:ind w:left="720" w:hanging="720"/>
      </w:pPr>
      <w:rPr>
        <w:color w:val="000000"/>
      </w:rPr>
    </w:lvl>
    <w:lvl w:ilvl="1" w:tplc="9988A25A" w:tentative="1">
      <w:start w:val="1"/>
      <w:numFmt w:val="lowerLetter"/>
      <w:lvlText w:val="%2."/>
      <w:lvlJc w:val="left"/>
      <w:pPr>
        <w:tabs>
          <w:tab w:val="num" w:pos="1440"/>
        </w:tabs>
        <w:ind w:left="1440" w:hanging="360"/>
      </w:pPr>
    </w:lvl>
    <w:lvl w:ilvl="2" w:tplc="09B8522A" w:tentative="1">
      <w:start w:val="1"/>
      <w:numFmt w:val="lowerRoman"/>
      <w:lvlText w:val="%3."/>
      <w:lvlJc w:val="right"/>
      <w:pPr>
        <w:tabs>
          <w:tab w:val="num" w:pos="2160"/>
        </w:tabs>
        <w:ind w:left="2160" w:hanging="180"/>
      </w:pPr>
    </w:lvl>
    <w:lvl w:ilvl="3" w:tplc="9AFE92EC" w:tentative="1">
      <w:start w:val="1"/>
      <w:numFmt w:val="decimal"/>
      <w:lvlText w:val="%4."/>
      <w:lvlJc w:val="left"/>
      <w:pPr>
        <w:tabs>
          <w:tab w:val="num" w:pos="2880"/>
        </w:tabs>
        <w:ind w:left="2880" w:hanging="360"/>
      </w:pPr>
    </w:lvl>
    <w:lvl w:ilvl="4" w:tplc="E16453BA" w:tentative="1">
      <w:start w:val="1"/>
      <w:numFmt w:val="lowerLetter"/>
      <w:lvlText w:val="%5."/>
      <w:lvlJc w:val="left"/>
      <w:pPr>
        <w:tabs>
          <w:tab w:val="num" w:pos="3600"/>
        </w:tabs>
        <w:ind w:left="3600" w:hanging="360"/>
      </w:pPr>
    </w:lvl>
    <w:lvl w:ilvl="5" w:tplc="7A0CAD08" w:tentative="1">
      <w:start w:val="1"/>
      <w:numFmt w:val="lowerRoman"/>
      <w:lvlText w:val="%6."/>
      <w:lvlJc w:val="right"/>
      <w:pPr>
        <w:tabs>
          <w:tab w:val="num" w:pos="4320"/>
        </w:tabs>
        <w:ind w:left="4320" w:hanging="180"/>
      </w:pPr>
    </w:lvl>
    <w:lvl w:ilvl="6" w:tplc="8AFA0780" w:tentative="1">
      <w:start w:val="1"/>
      <w:numFmt w:val="decimal"/>
      <w:lvlText w:val="%7."/>
      <w:lvlJc w:val="left"/>
      <w:pPr>
        <w:tabs>
          <w:tab w:val="num" w:pos="5040"/>
        </w:tabs>
        <w:ind w:left="5040" w:hanging="360"/>
      </w:pPr>
    </w:lvl>
    <w:lvl w:ilvl="7" w:tplc="F2F64A80" w:tentative="1">
      <w:start w:val="1"/>
      <w:numFmt w:val="lowerLetter"/>
      <w:lvlText w:val="%8."/>
      <w:lvlJc w:val="left"/>
      <w:pPr>
        <w:tabs>
          <w:tab w:val="num" w:pos="5760"/>
        </w:tabs>
        <w:ind w:left="5760" w:hanging="360"/>
      </w:pPr>
    </w:lvl>
    <w:lvl w:ilvl="8" w:tplc="8FA098B2" w:tentative="1">
      <w:start w:val="1"/>
      <w:numFmt w:val="lowerRoman"/>
      <w:lvlText w:val="%9."/>
      <w:lvlJc w:val="right"/>
      <w:pPr>
        <w:tabs>
          <w:tab w:val="num" w:pos="6480"/>
        </w:tabs>
        <w:ind w:left="6480" w:hanging="180"/>
      </w:pPr>
    </w:lvl>
  </w:abstractNum>
  <w:abstractNum w:abstractNumId="18" w15:restartNumberingAfterBreak="0">
    <w:nsid w:val="2335513A"/>
    <w:multiLevelType w:val="multilevel"/>
    <w:tmpl w:val="DEB2D022"/>
    <w:lvl w:ilvl="0">
      <w:start w:val="1"/>
      <w:numFmt w:val="lowerLetter"/>
      <w:lvlText w:val="%1)"/>
      <w:lvlJc w:val="left"/>
      <w:pPr>
        <w:tabs>
          <w:tab w:val="num" w:pos="1555"/>
        </w:tabs>
        <w:ind w:left="1555" w:hanging="561"/>
      </w:pPr>
      <w:rPr>
        <w:rFonts w:hint="default"/>
        <w:color w:val="000000"/>
      </w:rPr>
    </w:lvl>
    <w:lvl w:ilvl="1">
      <w:start w:val="1"/>
      <w:numFmt w:val="lowerLetter"/>
      <w:lvlText w:val="%2."/>
      <w:lvlJc w:val="left"/>
      <w:pPr>
        <w:ind w:left="2434" w:hanging="360"/>
      </w:pPr>
      <w:rPr>
        <w:rFonts w:hint="default"/>
      </w:rPr>
    </w:lvl>
    <w:lvl w:ilvl="2">
      <w:start w:val="1"/>
      <w:numFmt w:val="lowerRoman"/>
      <w:lvlText w:val="%3."/>
      <w:lvlJc w:val="right"/>
      <w:pPr>
        <w:ind w:left="3154" w:hanging="180"/>
      </w:pPr>
      <w:rPr>
        <w:rFonts w:hint="default"/>
      </w:rPr>
    </w:lvl>
    <w:lvl w:ilvl="3">
      <w:start w:val="1"/>
      <w:numFmt w:val="decimal"/>
      <w:lvlText w:val="%4."/>
      <w:lvlJc w:val="left"/>
      <w:pPr>
        <w:ind w:left="3874" w:hanging="360"/>
      </w:pPr>
      <w:rPr>
        <w:rFonts w:hint="default"/>
      </w:rPr>
    </w:lvl>
    <w:lvl w:ilvl="4">
      <w:start w:val="1"/>
      <w:numFmt w:val="lowerLetter"/>
      <w:lvlText w:val="%5."/>
      <w:lvlJc w:val="left"/>
      <w:pPr>
        <w:ind w:left="4594" w:hanging="360"/>
      </w:pPr>
      <w:rPr>
        <w:rFonts w:hint="default"/>
      </w:rPr>
    </w:lvl>
    <w:lvl w:ilvl="5">
      <w:start w:val="1"/>
      <w:numFmt w:val="lowerRoman"/>
      <w:lvlText w:val="%6."/>
      <w:lvlJc w:val="right"/>
      <w:pPr>
        <w:ind w:left="5314" w:hanging="180"/>
      </w:pPr>
      <w:rPr>
        <w:rFonts w:hint="default"/>
      </w:rPr>
    </w:lvl>
    <w:lvl w:ilvl="6">
      <w:start w:val="1"/>
      <w:numFmt w:val="decimal"/>
      <w:lvlText w:val="%7."/>
      <w:lvlJc w:val="left"/>
      <w:pPr>
        <w:ind w:left="6034" w:hanging="360"/>
      </w:pPr>
      <w:rPr>
        <w:rFonts w:hint="default"/>
      </w:rPr>
    </w:lvl>
    <w:lvl w:ilvl="7">
      <w:start w:val="1"/>
      <w:numFmt w:val="lowerLetter"/>
      <w:lvlText w:val="%8."/>
      <w:lvlJc w:val="left"/>
      <w:pPr>
        <w:ind w:left="6754" w:hanging="360"/>
      </w:pPr>
      <w:rPr>
        <w:rFonts w:hint="default"/>
      </w:rPr>
    </w:lvl>
    <w:lvl w:ilvl="8">
      <w:start w:val="1"/>
      <w:numFmt w:val="lowerRoman"/>
      <w:lvlText w:val="%9."/>
      <w:lvlJc w:val="right"/>
      <w:pPr>
        <w:ind w:left="7474" w:hanging="180"/>
      </w:pPr>
      <w:rPr>
        <w:rFonts w:hint="default"/>
      </w:rPr>
    </w:lvl>
  </w:abstractNum>
  <w:abstractNum w:abstractNumId="19" w15:restartNumberingAfterBreak="0">
    <w:nsid w:val="23F230AE"/>
    <w:multiLevelType w:val="hybridMultilevel"/>
    <w:tmpl w:val="DC3EE75A"/>
    <w:lvl w:ilvl="0" w:tplc="326EF970">
      <w:start w:val="1"/>
      <w:numFmt w:val="decimal"/>
      <w:lvlText w:val="Part %1"/>
      <w:lvlJc w:val="left"/>
      <w:pPr>
        <w:ind w:left="720" w:hanging="360"/>
      </w:pPr>
      <w:rPr>
        <w:rFonts w:hint="default"/>
        <w:b/>
        <w:i w:val="0"/>
        <w:color w:val="000000"/>
      </w:rPr>
    </w:lvl>
    <w:lvl w:ilvl="1" w:tplc="D4C2A51A" w:tentative="1">
      <w:start w:val="1"/>
      <w:numFmt w:val="lowerLetter"/>
      <w:lvlText w:val="%2."/>
      <w:lvlJc w:val="left"/>
      <w:pPr>
        <w:ind w:left="1440" w:hanging="360"/>
      </w:pPr>
    </w:lvl>
    <w:lvl w:ilvl="2" w:tplc="41B8BF38" w:tentative="1">
      <w:start w:val="1"/>
      <w:numFmt w:val="lowerRoman"/>
      <w:lvlText w:val="%3."/>
      <w:lvlJc w:val="right"/>
      <w:pPr>
        <w:ind w:left="2160" w:hanging="180"/>
      </w:pPr>
    </w:lvl>
    <w:lvl w:ilvl="3" w:tplc="5240BE36" w:tentative="1">
      <w:start w:val="1"/>
      <w:numFmt w:val="decimal"/>
      <w:lvlText w:val="%4."/>
      <w:lvlJc w:val="left"/>
      <w:pPr>
        <w:ind w:left="2880" w:hanging="360"/>
      </w:pPr>
    </w:lvl>
    <w:lvl w:ilvl="4" w:tplc="C1C2DB76" w:tentative="1">
      <w:start w:val="1"/>
      <w:numFmt w:val="lowerLetter"/>
      <w:lvlText w:val="%5."/>
      <w:lvlJc w:val="left"/>
      <w:pPr>
        <w:ind w:left="3600" w:hanging="360"/>
      </w:pPr>
    </w:lvl>
    <w:lvl w:ilvl="5" w:tplc="E2940A5A" w:tentative="1">
      <w:start w:val="1"/>
      <w:numFmt w:val="lowerRoman"/>
      <w:lvlText w:val="%6."/>
      <w:lvlJc w:val="right"/>
      <w:pPr>
        <w:ind w:left="4320" w:hanging="180"/>
      </w:pPr>
    </w:lvl>
    <w:lvl w:ilvl="6" w:tplc="896A0A3C" w:tentative="1">
      <w:start w:val="1"/>
      <w:numFmt w:val="decimal"/>
      <w:lvlText w:val="%7."/>
      <w:lvlJc w:val="left"/>
      <w:pPr>
        <w:ind w:left="5040" w:hanging="360"/>
      </w:pPr>
    </w:lvl>
    <w:lvl w:ilvl="7" w:tplc="FE968B34" w:tentative="1">
      <w:start w:val="1"/>
      <w:numFmt w:val="lowerLetter"/>
      <w:lvlText w:val="%8."/>
      <w:lvlJc w:val="left"/>
      <w:pPr>
        <w:ind w:left="5760" w:hanging="360"/>
      </w:pPr>
    </w:lvl>
    <w:lvl w:ilvl="8" w:tplc="F5D49206" w:tentative="1">
      <w:start w:val="1"/>
      <w:numFmt w:val="lowerRoman"/>
      <w:lvlText w:val="%9."/>
      <w:lvlJc w:val="right"/>
      <w:pPr>
        <w:ind w:left="6480" w:hanging="180"/>
      </w:pPr>
    </w:lvl>
  </w:abstractNum>
  <w:abstractNum w:abstractNumId="20" w15:restartNumberingAfterBreak="0">
    <w:nsid w:val="25B00E4C"/>
    <w:multiLevelType w:val="hybridMultilevel"/>
    <w:tmpl w:val="97C4AA26"/>
    <w:lvl w:ilvl="0" w:tplc="DFD69EA8">
      <w:start w:val="1"/>
      <w:numFmt w:val="upperLetter"/>
      <w:pStyle w:val="Annex"/>
      <w:lvlText w:val="ANNEX %1"/>
      <w:lvlJc w:val="left"/>
      <w:pPr>
        <w:ind w:left="720" w:hanging="360"/>
      </w:pPr>
      <w:rPr>
        <w:rFonts w:cs="Times New Roman" w:hint="default"/>
        <w:b/>
        <w:bCs w:val="0"/>
        <w:i w:val="0"/>
        <w:iCs w:val="0"/>
        <w:caps w:val="0"/>
        <w:strike w:val="0"/>
        <w:dstrike w:val="0"/>
        <w:vanish w:val="0"/>
        <w:color w:val="000000"/>
        <w:spacing w:val="0"/>
        <w:kern w:val="0"/>
        <w:position w:val="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14:ligatures w14:val="none"/>
        <w14:numForm w14:val="default"/>
        <w14:numSpacing w14:val="default"/>
        <w14:stylisticSets/>
        <w14:cntxtAlts w14:val="0"/>
      </w:rPr>
    </w:lvl>
    <w:lvl w:ilvl="1" w:tplc="322AC9E2" w:tentative="1">
      <w:start w:val="1"/>
      <w:numFmt w:val="lowerLetter"/>
      <w:lvlText w:val="%2."/>
      <w:lvlJc w:val="left"/>
      <w:pPr>
        <w:ind w:left="1440" w:hanging="360"/>
      </w:pPr>
    </w:lvl>
    <w:lvl w:ilvl="2" w:tplc="710C730A" w:tentative="1">
      <w:start w:val="1"/>
      <w:numFmt w:val="lowerRoman"/>
      <w:lvlText w:val="%3."/>
      <w:lvlJc w:val="right"/>
      <w:pPr>
        <w:ind w:left="2160" w:hanging="180"/>
      </w:pPr>
    </w:lvl>
    <w:lvl w:ilvl="3" w:tplc="A580A4F4" w:tentative="1">
      <w:start w:val="1"/>
      <w:numFmt w:val="decimal"/>
      <w:lvlText w:val="%4."/>
      <w:lvlJc w:val="left"/>
      <w:pPr>
        <w:ind w:left="2880" w:hanging="360"/>
      </w:pPr>
    </w:lvl>
    <w:lvl w:ilvl="4" w:tplc="D444E336" w:tentative="1">
      <w:start w:val="1"/>
      <w:numFmt w:val="lowerLetter"/>
      <w:lvlText w:val="%5."/>
      <w:lvlJc w:val="left"/>
      <w:pPr>
        <w:ind w:left="3600" w:hanging="360"/>
      </w:pPr>
    </w:lvl>
    <w:lvl w:ilvl="5" w:tplc="4E94FAD2" w:tentative="1">
      <w:start w:val="1"/>
      <w:numFmt w:val="lowerRoman"/>
      <w:lvlText w:val="%6."/>
      <w:lvlJc w:val="right"/>
      <w:pPr>
        <w:ind w:left="4320" w:hanging="180"/>
      </w:pPr>
    </w:lvl>
    <w:lvl w:ilvl="6" w:tplc="05C49B0A" w:tentative="1">
      <w:start w:val="1"/>
      <w:numFmt w:val="decimal"/>
      <w:lvlText w:val="%7."/>
      <w:lvlJc w:val="left"/>
      <w:pPr>
        <w:ind w:left="5040" w:hanging="360"/>
      </w:pPr>
    </w:lvl>
    <w:lvl w:ilvl="7" w:tplc="46B6433A" w:tentative="1">
      <w:start w:val="1"/>
      <w:numFmt w:val="lowerLetter"/>
      <w:lvlText w:val="%8."/>
      <w:lvlJc w:val="left"/>
      <w:pPr>
        <w:ind w:left="5760" w:hanging="360"/>
      </w:pPr>
    </w:lvl>
    <w:lvl w:ilvl="8" w:tplc="7B2824F0" w:tentative="1">
      <w:start w:val="1"/>
      <w:numFmt w:val="lowerRoman"/>
      <w:lvlText w:val="%9."/>
      <w:lvlJc w:val="right"/>
      <w:pPr>
        <w:ind w:left="6480" w:hanging="180"/>
      </w:pPr>
    </w:lvl>
  </w:abstractNum>
  <w:abstractNum w:abstractNumId="21" w15:restartNumberingAfterBreak="0">
    <w:nsid w:val="29C94F29"/>
    <w:multiLevelType w:val="hybridMultilevel"/>
    <w:tmpl w:val="4CBC2A34"/>
    <w:lvl w:ilvl="0" w:tplc="633A44BA">
      <w:start w:val="1"/>
      <w:numFmt w:val="decimal"/>
      <w:pStyle w:val="QuestionParagraph"/>
      <w:lvlText w:val="%1."/>
      <w:lvlJc w:val="left"/>
      <w:pPr>
        <w:ind w:left="720" w:hanging="360"/>
      </w:pPr>
      <w:rPr>
        <w:color w:val="000000"/>
      </w:rPr>
    </w:lvl>
    <w:lvl w:ilvl="1" w:tplc="FB2E9544" w:tentative="1">
      <w:start w:val="1"/>
      <w:numFmt w:val="lowerLetter"/>
      <w:lvlText w:val="%2."/>
      <w:lvlJc w:val="left"/>
      <w:pPr>
        <w:ind w:left="1440" w:hanging="360"/>
      </w:pPr>
    </w:lvl>
    <w:lvl w:ilvl="2" w:tplc="D70EE080" w:tentative="1">
      <w:start w:val="1"/>
      <w:numFmt w:val="lowerRoman"/>
      <w:lvlText w:val="%3."/>
      <w:lvlJc w:val="right"/>
      <w:pPr>
        <w:ind w:left="2160" w:hanging="180"/>
      </w:pPr>
    </w:lvl>
    <w:lvl w:ilvl="3" w:tplc="0DDAC9AA" w:tentative="1">
      <w:start w:val="1"/>
      <w:numFmt w:val="decimal"/>
      <w:lvlText w:val="%4."/>
      <w:lvlJc w:val="left"/>
      <w:pPr>
        <w:ind w:left="2880" w:hanging="360"/>
      </w:pPr>
    </w:lvl>
    <w:lvl w:ilvl="4" w:tplc="30CA1AB2" w:tentative="1">
      <w:start w:val="1"/>
      <w:numFmt w:val="lowerLetter"/>
      <w:lvlText w:val="%5."/>
      <w:lvlJc w:val="left"/>
      <w:pPr>
        <w:ind w:left="3600" w:hanging="360"/>
      </w:pPr>
    </w:lvl>
    <w:lvl w:ilvl="5" w:tplc="65087E4A" w:tentative="1">
      <w:start w:val="1"/>
      <w:numFmt w:val="lowerRoman"/>
      <w:lvlText w:val="%6."/>
      <w:lvlJc w:val="right"/>
      <w:pPr>
        <w:ind w:left="4320" w:hanging="180"/>
      </w:pPr>
    </w:lvl>
    <w:lvl w:ilvl="6" w:tplc="496E5E5A" w:tentative="1">
      <w:start w:val="1"/>
      <w:numFmt w:val="decimal"/>
      <w:lvlText w:val="%7."/>
      <w:lvlJc w:val="left"/>
      <w:pPr>
        <w:ind w:left="5040" w:hanging="360"/>
      </w:pPr>
    </w:lvl>
    <w:lvl w:ilvl="7" w:tplc="1D467948" w:tentative="1">
      <w:start w:val="1"/>
      <w:numFmt w:val="lowerLetter"/>
      <w:lvlText w:val="%8."/>
      <w:lvlJc w:val="left"/>
      <w:pPr>
        <w:ind w:left="5760" w:hanging="360"/>
      </w:pPr>
    </w:lvl>
    <w:lvl w:ilvl="8" w:tplc="56DC9856" w:tentative="1">
      <w:start w:val="1"/>
      <w:numFmt w:val="lowerRoman"/>
      <w:lvlText w:val="%9."/>
      <w:lvlJc w:val="right"/>
      <w:pPr>
        <w:ind w:left="6480" w:hanging="180"/>
      </w:pPr>
    </w:lvl>
  </w:abstractNum>
  <w:abstractNum w:abstractNumId="22" w15:restartNumberingAfterBreak="0">
    <w:nsid w:val="310416CA"/>
    <w:multiLevelType w:val="hybridMultilevel"/>
    <w:tmpl w:val="072EDEC8"/>
    <w:lvl w:ilvl="0" w:tplc="55F29858">
      <w:start w:val="1"/>
      <w:numFmt w:val="bullet"/>
      <w:pStyle w:val="subclause2Bullet2"/>
      <w:lvlText w:val=""/>
      <w:lvlJc w:val="left"/>
      <w:pPr>
        <w:ind w:left="2279" w:hanging="360"/>
      </w:pPr>
      <w:rPr>
        <w:rFonts w:ascii="Symbol" w:hAnsi="Symbol" w:hint="default"/>
        <w:color w:val="000000"/>
      </w:rPr>
    </w:lvl>
    <w:lvl w:ilvl="1" w:tplc="E1064FAE" w:tentative="1">
      <w:start w:val="1"/>
      <w:numFmt w:val="bullet"/>
      <w:lvlText w:val="o"/>
      <w:lvlJc w:val="left"/>
      <w:pPr>
        <w:ind w:left="2999" w:hanging="360"/>
      </w:pPr>
      <w:rPr>
        <w:rFonts w:ascii="Courier New" w:hAnsi="Courier New" w:cs="Courier New" w:hint="default"/>
      </w:rPr>
    </w:lvl>
    <w:lvl w:ilvl="2" w:tplc="5F9EC044" w:tentative="1">
      <w:start w:val="1"/>
      <w:numFmt w:val="bullet"/>
      <w:lvlText w:val=""/>
      <w:lvlJc w:val="left"/>
      <w:pPr>
        <w:ind w:left="3719" w:hanging="360"/>
      </w:pPr>
      <w:rPr>
        <w:rFonts w:ascii="Wingdings" w:hAnsi="Wingdings" w:hint="default"/>
      </w:rPr>
    </w:lvl>
    <w:lvl w:ilvl="3" w:tplc="842AD186" w:tentative="1">
      <w:start w:val="1"/>
      <w:numFmt w:val="bullet"/>
      <w:lvlText w:val=""/>
      <w:lvlJc w:val="left"/>
      <w:pPr>
        <w:ind w:left="4439" w:hanging="360"/>
      </w:pPr>
      <w:rPr>
        <w:rFonts w:ascii="Symbol" w:hAnsi="Symbol" w:hint="default"/>
      </w:rPr>
    </w:lvl>
    <w:lvl w:ilvl="4" w:tplc="A2D65C5C" w:tentative="1">
      <w:start w:val="1"/>
      <w:numFmt w:val="bullet"/>
      <w:lvlText w:val="o"/>
      <w:lvlJc w:val="left"/>
      <w:pPr>
        <w:ind w:left="5159" w:hanging="360"/>
      </w:pPr>
      <w:rPr>
        <w:rFonts w:ascii="Courier New" w:hAnsi="Courier New" w:cs="Courier New" w:hint="default"/>
      </w:rPr>
    </w:lvl>
    <w:lvl w:ilvl="5" w:tplc="CA141664" w:tentative="1">
      <w:start w:val="1"/>
      <w:numFmt w:val="bullet"/>
      <w:lvlText w:val=""/>
      <w:lvlJc w:val="left"/>
      <w:pPr>
        <w:ind w:left="5879" w:hanging="360"/>
      </w:pPr>
      <w:rPr>
        <w:rFonts w:ascii="Wingdings" w:hAnsi="Wingdings" w:hint="default"/>
      </w:rPr>
    </w:lvl>
    <w:lvl w:ilvl="6" w:tplc="7FC09196" w:tentative="1">
      <w:start w:val="1"/>
      <w:numFmt w:val="bullet"/>
      <w:lvlText w:val=""/>
      <w:lvlJc w:val="left"/>
      <w:pPr>
        <w:ind w:left="6599" w:hanging="360"/>
      </w:pPr>
      <w:rPr>
        <w:rFonts w:ascii="Symbol" w:hAnsi="Symbol" w:hint="default"/>
      </w:rPr>
    </w:lvl>
    <w:lvl w:ilvl="7" w:tplc="973C4670" w:tentative="1">
      <w:start w:val="1"/>
      <w:numFmt w:val="bullet"/>
      <w:lvlText w:val="o"/>
      <w:lvlJc w:val="left"/>
      <w:pPr>
        <w:ind w:left="7319" w:hanging="360"/>
      </w:pPr>
      <w:rPr>
        <w:rFonts w:ascii="Courier New" w:hAnsi="Courier New" w:cs="Courier New" w:hint="default"/>
      </w:rPr>
    </w:lvl>
    <w:lvl w:ilvl="8" w:tplc="90D823F0" w:tentative="1">
      <w:start w:val="1"/>
      <w:numFmt w:val="bullet"/>
      <w:lvlText w:val=""/>
      <w:lvlJc w:val="left"/>
      <w:pPr>
        <w:ind w:left="8039" w:hanging="360"/>
      </w:pPr>
      <w:rPr>
        <w:rFonts w:ascii="Wingdings" w:hAnsi="Wingdings" w:hint="default"/>
      </w:rPr>
    </w:lvl>
  </w:abstractNum>
  <w:abstractNum w:abstractNumId="23" w15:restartNumberingAfterBreak="0">
    <w:nsid w:val="31E9741F"/>
    <w:multiLevelType w:val="hybridMultilevel"/>
    <w:tmpl w:val="0CAC7D4E"/>
    <w:lvl w:ilvl="0" w:tplc="82A43C02">
      <w:start w:val="1"/>
      <w:numFmt w:val="bullet"/>
      <w:pStyle w:val="BulletList2"/>
      <w:lvlText w:val=""/>
      <w:lvlJc w:val="left"/>
      <w:pPr>
        <w:tabs>
          <w:tab w:val="num" w:pos="1077"/>
        </w:tabs>
        <w:ind w:left="1077" w:hanging="357"/>
      </w:pPr>
      <w:rPr>
        <w:rFonts w:ascii="Symbol" w:hAnsi="Symbol" w:hint="default"/>
        <w:color w:val="000000"/>
      </w:rPr>
    </w:lvl>
    <w:lvl w:ilvl="1" w:tplc="72CC9BE0" w:tentative="1">
      <w:start w:val="1"/>
      <w:numFmt w:val="bullet"/>
      <w:lvlText w:val="o"/>
      <w:lvlJc w:val="left"/>
      <w:pPr>
        <w:tabs>
          <w:tab w:val="num" w:pos="1440"/>
        </w:tabs>
        <w:ind w:left="1440" w:hanging="360"/>
      </w:pPr>
      <w:rPr>
        <w:rFonts w:ascii="Courier New" w:hAnsi="Courier New" w:cs="Courier New" w:hint="default"/>
      </w:rPr>
    </w:lvl>
    <w:lvl w:ilvl="2" w:tplc="80385F4A" w:tentative="1">
      <w:start w:val="1"/>
      <w:numFmt w:val="bullet"/>
      <w:lvlText w:val=""/>
      <w:lvlJc w:val="left"/>
      <w:pPr>
        <w:tabs>
          <w:tab w:val="num" w:pos="2160"/>
        </w:tabs>
        <w:ind w:left="2160" w:hanging="360"/>
      </w:pPr>
      <w:rPr>
        <w:rFonts w:ascii="Wingdings" w:hAnsi="Wingdings" w:hint="default"/>
      </w:rPr>
    </w:lvl>
    <w:lvl w:ilvl="3" w:tplc="23CCB942" w:tentative="1">
      <w:start w:val="1"/>
      <w:numFmt w:val="bullet"/>
      <w:lvlText w:val=""/>
      <w:lvlJc w:val="left"/>
      <w:pPr>
        <w:tabs>
          <w:tab w:val="num" w:pos="2880"/>
        </w:tabs>
        <w:ind w:left="2880" w:hanging="360"/>
      </w:pPr>
      <w:rPr>
        <w:rFonts w:ascii="Symbol" w:hAnsi="Symbol" w:hint="default"/>
      </w:rPr>
    </w:lvl>
    <w:lvl w:ilvl="4" w:tplc="98488A68" w:tentative="1">
      <w:start w:val="1"/>
      <w:numFmt w:val="bullet"/>
      <w:lvlText w:val="o"/>
      <w:lvlJc w:val="left"/>
      <w:pPr>
        <w:tabs>
          <w:tab w:val="num" w:pos="3600"/>
        </w:tabs>
        <w:ind w:left="3600" w:hanging="360"/>
      </w:pPr>
      <w:rPr>
        <w:rFonts w:ascii="Courier New" w:hAnsi="Courier New" w:cs="Courier New" w:hint="default"/>
      </w:rPr>
    </w:lvl>
    <w:lvl w:ilvl="5" w:tplc="3F7CF5FA" w:tentative="1">
      <w:start w:val="1"/>
      <w:numFmt w:val="bullet"/>
      <w:lvlText w:val=""/>
      <w:lvlJc w:val="left"/>
      <w:pPr>
        <w:tabs>
          <w:tab w:val="num" w:pos="4320"/>
        </w:tabs>
        <w:ind w:left="4320" w:hanging="360"/>
      </w:pPr>
      <w:rPr>
        <w:rFonts w:ascii="Wingdings" w:hAnsi="Wingdings" w:hint="default"/>
      </w:rPr>
    </w:lvl>
    <w:lvl w:ilvl="6" w:tplc="28BC27B4" w:tentative="1">
      <w:start w:val="1"/>
      <w:numFmt w:val="bullet"/>
      <w:lvlText w:val=""/>
      <w:lvlJc w:val="left"/>
      <w:pPr>
        <w:tabs>
          <w:tab w:val="num" w:pos="5040"/>
        </w:tabs>
        <w:ind w:left="5040" w:hanging="360"/>
      </w:pPr>
      <w:rPr>
        <w:rFonts w:ascii="Symbol" w:hAnsi="Symbol" w:hint="default"/>
      </w:rPr>
    </w:lvl>
    <w:lvl w:ilvl="7" w:tplc="A4503F5E" w:tentative="1">
      <w:start w:val="1"/>
      <w:numFmt w:val="bullet"/>
      <w:lvlText w:val="o"/>
      <w:lvlJc w:val="left"/>
      <w:pPr>
        <w:tabs>
          <w:tab w:val="num" w:pos="5760"/>
        </w:tabs>
        <w:ind w:left="5760" w:hanging="360"/>
      </w:pPr>
      <w:rPr>
        <w:rFonts w:ascii="Courier New" w:hAnsi="Courier New" w:cs="Courier New" w:hint="default"/>
      </w:rPr>
    </w:lvl>
    <w:lvl w:ilvl="8" w:tplc="83F24DE6"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33CC668D"/>
    <w:multiLevelType w:val="hybridMultilevel"/>
    <w:tmpl w:val="594C4DAE"/>
    <w:lvl w:ilvl="0" w:tplc="432AF064">
      <w:start w:val="1"/>
      <w:numFmt w:val="bullet"/>
      <w:pStyle w:val="Bullet4"/>
      <w:lvlText w:val=""/>
      <w:lvlJc w:val="left"/>
      <w:pPr>
        <w:tabs>
          <w:tab w:val="num" w:pos="2676"/>
        </w:tabs>
        <w:ind w:left="2676" w:hanging="357"/>
      </w:pPr>
      <w:rPr>
        <w:rFonts w:ascii="Symbol" w:hAnsi="Symbol" w:hint="default"/>
        <w:color w:val="000000"/>
      </w:rPr>
    </w:lvl>
    <w:lvl w:ilvl="1" w:tplc="B1328218" w:tentative="1">
      <w:start w:val="1"/>
      <w:numFmt w:val="bullet"/>
      <w:lvlText w:val="o"/>
      <w:lvlJc w:val="left"/>
      <w:pPr>
        <w:tabs>
          <w:tab w:val="num" w:pos="1440"/>
        </w:tabs>
        <w:ind w:left="1440" w:hanging="360"/>
      </w:pPr>
      <w:rPr>
        <w:rFonts w:ascii="Courier New" w:hAnsi="Courier New" w:cs="Courier New" w:hint="default"/>
      </w:rPr>
    </w:lvl>
    <w:lvl w:ilvl="2" w:tplc="4A74C4EE" w:tentative="1">
      <w:start w:val="1"/>
      <w:numFmt w:val="bullet"/>
      <w:lvlText w:val=""/>
      <w:lvlJc w:val="left"/>
      <w:pPr>
        <w:tabs>
          <w:tab w:val="num" w:pos="2160"/>
        </w:tabs>
        <w:ind w:left="2160" w:hanging="360"/>
      </w:pPr>
      <w:rPr>
        <w:rFonts w:ascii="Wingdings" w:hAnsi="Wingdings" w:hint="default"/>
      </w:rPr>
    </w:lvl>
    <w:lvl w:ilvl="3" w:tplc="5F0E05BA" w:tentative="1">
      <w:start w:val="1"/>
      <w:numFmt w:val="bullet"/>
      <w:lvlText w:val=""/>
      <w:lvlJc w:val="left"/>
      <w:pPr>
        <w:tabs>
          <w:tab w:val="num" w:pos="2880"/>
        </w:tabs>
        <w:ind w:left="2880" w:hanging="360"/>
      </w:pPr>
      <w:rPr>
        <w:rFonts w:ascii="Symbol" w:hAnsi="Symbol" w:hint="default"/>
      </w:rPr>
    </w:lvl>
    <w:lvl w:ilvl="4" w:tplc="308E18A0" w:tentative="1">
      <w:start w:val="1"/>
      <w:numFmt w:val="bullet"/>
      <w:lvlText w:val="o"/>
      <w:lvlJc w:val="left"/>
      <w:pPr>
        <w:tabs>
          <w:tab w:val="num" w:pos="3600"/>
        </w:tabs>
        <w:ind w:left="3600" w:hanging="360"/>
      </w:pPr>
      <w:rPr>
        <w:rFonts w:ascii="Courier New" w:hAnsi="Courier New" w:cs="Courier New" w:hint="default"/>
      </w:rPr>
    </w:lvl>
    <w:lvl w:ilvl="5" w:tplc="11369E0A" w:tentative="1">
      <w:start w:val="1"/>
      <w:numFmt w:val="bullet"/>
      <w:lvlText w:val=""/>
      <w:lvlJc w:val="left"/>
      <w:pPr>
        <w:tabs>
          <w:tab w:val="num" w:pos="4320"/>
        </w:tabs>
        <w:ind w:left="4320" w:hanging="360"/>
      </w:pPr>
      <w:rPr>
        <w:rFonts w:ascii="Wingdings" w:hAnsi="Wingdings" w:hint="default"/>
      </w:rPr>
    </w:lvl>
    <w:lvl w:ilvl="6" w:tplc="7B62D6C6" w:tentative="1">
      <w:start w:val="1"/>
      <w:numFmt w:val="bullet"/>
      <w:lvlText w:val=""/>
      <w:lvlJc w:val="left"/>
      <w:pPr>
        <w:tabs>
          <w:tab w:val="num" w:pos="5040"/>
        </w:tabs>
        <w:ind w:left="5040" w:hanging="360"/>
      </w:pPr>
      <w:rPr>
        <w:rFonts w:ascii="Symbol" w:hAnsi="Symbol" w:hint="default"/>
      </w:rPr>
    </w:lvl>
    <w:lvl w:ilvl="7" w:tplc="1452F42C" w:tentative="1">
      <w:start w:val="1"/>
      <w:numFmt w:val="bullet"/>
      <w:lvlText w:val="o"/>
      <w:lvlJc w:val="left"/>
      <w:pPr>
        <w:tabs>
          <w:tab w:val="num" w:pos="5760"/>
        </w:tabs>
        <w:ind w:left="5760" w:hanging="360"/>
      </w:pPr>
      <w:rPr>
        <w:rFonts w:ascii="Courier New" w:hAnsi="Courier New" w:cs="Courier New" w:hint="default"/>
      </w:rPr>
    </w:lvl>
    <w:lvl w:ilvl="8" w:tplc="EBCED1CE"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36E3743B"/>
    <w:multiLevelType w:val="singleLevel"/>
    <w:tmpl w:val="FE302F92"/>
    <w:lvl w:ilvl="0">
      <w:start w:val="1"/>
      <w:numFmt w:val="decimal"/>
      <w:pStyle w:val="ScheduleHeading"/>
      <w:lvlText w:val="Schedule %1"/>
      <w:lvlJc w:val="left"/>
      <w:pPr>
        <w:tabs>
          <w:tab w:val="num" w:pos="1080"/>
        </w:tabs>
        <w:ind w:left="360" w:hanging="360"/>
      </w:pPr>
      <w:rPr>
        <w:rFonts w:hint="default"/>
        <w:color w:val="000000"/>
      </w:rPr>
    </w:lvl>
  </w:abstractNum>
  <w:abstractNum w:abstractNumId="26" w15:restartNumberingAfterBreak="0">
    <w:nsid w:val="38130038"/>
    <w:multiLevelType w:val="hybridMultilevel"/>
    <w:tmpl w:val="FF8A0FAE"/>
    <w:lvl w:ilvl="0" w:tplc="86C0016A">
      <w:start w:val="1"/>
      <w:numFmt w:val="bullet"/>
      <w:pStyle w:val="ClauseBullet2"/>
      <w:lvlText w:val=""/>
      <w:lvlJc w:val="left"/>
      <w:pPr>
        <w:ind w:left="1440" w:hanging="360"/>
      </w:pPr>
      <w:rPr>
        <w:rFonts w:ascii="Symbol" w:hAnsi="Symbol" w:hint="default"/>
        <w:color w:val="000000"/>
      </w:rPr>
    </w:lvl>
    <w:lvl w:ilvl="1" w:tplc="7D70BCA6" w:tentative="1">
      <w:start w:val="1"/>
      <w:numFmt w:val="bullet"/>
      <w:lvlText w:val="o"/>
      <w:lvlJc w:val="left"/>
      <w:pPr>
        <w:ind w:left="2160" w:hanging="360"/>
      </w:pPr>
      <w:rPr>
        <w:rFonts w:ascii="Courier New" w:hAnsi="Courier New" w:cs="Courier New" w:hint="default"/>
      </w:rPr>
    </w:lvl>
    <w:lvl w:ilvl="2" w:tplc="AF9EEC38" w:tentative="1">
      <w:start w:val="1"/>
      <w:numFmt w:val="bullet"/>
      <w:lvlText w:val=""/>
      <w:lvlJc w:val="left"/>
      <w:pPr>
        <w:ind w:left="2880" w:hanging="360"/>
      </w:pPr>
      <w:rPr>
        <w:rFonts w:ascii="Wingdings" w:hAnsi="Wingdings" w:hint="default"/>
      </w:rPr>
    </w:lvl>
    <w:lvl w:ilvl="3" w:tplc="BC50F40E" w:tentative="1">
      <w:start w:val="1"/>
      <w:numFmt w:val="bullet"/>
      <w:lvlText w:val=""/>
      <w:lvlJc w:val="left"/>
      <w:pPr>
        <w:ind w:left="3600" w:hanging="360"/>
      </w:pPr>
      <w:rPr>
        <w:rFonts w:ascii="Symbol" w:hAnsi="Symbol" w:hint="default"/>
      </w:rPr>
    </w:lvl>
    <w:lvl w:ilvl="4" w:tplc="8190F958" w:tentative="1">
      <w:start w:val="1"/>
      <w:numFmt w:val="bullet"/>
      <w:lvlText w:val="o"/>
      <w:lvlJc w:val="left"/>
      <w:pPr>
        <w:ind w:left="4320" w:hanging="360"/>
      </w:pPr>
      <w:rPr>
        <w:rFonts w:ascii="Courier New" w:hAnsi="Courier New" w:cs="Courier New" w:hint="default"/>
      </w:rPr>
    </w:lvl>
    <w:lvl w:ilvl="5" w:tplc="6980F4AE" w:tentative="1">
      <w:start w:val="1"/>
      <w:numFmt w:val="bullet"/>
      <w:lvlText w:val=""/>
      <w:lvlJc w:val="left"/>
      <w:pPr>
        <w:ind w:left="5040" w:hanging="360"/>
      </w:pPr>
      <w:rPr>
        <w:rFonts w:ascii="Wingdings" w:hAnsi="Wingdings" w:hint="default"/>
      </w:rPr>
    </w:lvl>
    <w:lvl w:ilvl="6" w:tplc="706A2282" w:tentative="1">
      <w:start w:val="1"/>
      <w:numFmt w:val="bullet"/>
      <w:lvlText w:val=""/>
      <w:lvlJc w:val="left"/>
      <w:pPr>
        <w:ind w:left="5760" w:hanging="360"/>
      </w:pPr>
      <w:rPr>
        <w:rFonts w:ascii="Symbol" w:hAnsi="Symbol" w:hint="default"/>
      </w:rPr>
    </w:lvl>
    <w:lvl w:ilvl="7" w:tplc="217AA868" w:tentative="1">
      <w:start w:val="1"/>
      <w:numFmt w:val="bullet"/>
      <w:lvlText w:val="o"/>
      <w:lvlJc w:val="left"/>
      <w:pPr>
        <w:ind w:left="6480" w:hanging="360"/>
      </w:pPr>
      <w:rPr>
        <w:rFonts w:ascii="Courier New" w:hAnsi="Courier New" w:cs="Courier New" w:hint="default"/>
      </w:rPr>
    </w:lvl>
    <w:lvl w:ilvl="8" w:tplc="493034E0" w:tentative="1">
      <w:start w:val="1"/>
      <w:numFmt w:val="bullet"/>
      <w:lvlText w:val=""/>
      <w:lvlJc w:val="left"/>
      <w:pPr>
        <w:ind w:left="7200" w:hanging="360"/>
      </w:pPr>
      <w:rPr>
        <w:rFonts w:ascii="Wingdings" w:hAnsi="Wingdings" w:hint="default"/>
      </w:rPr>
    </w:lvl>
  </w:abstractNum>
  <w:abstractNum w:abstractNumId="27" w15:restartNumberingAfterBreak="0">
    <w:nsid w:val="402E6DC1"/>
    <w:multiLevelType w:val="hybridMultilevel"/>
    <w:tmpl w:val="8AAEB3E8"/>
    <w:lvl w:ilvl="0" w:tplc="0966DC44">
      <w:start w:val="1"/>
      <w:numFmt w:val="bullet"/>
      <w:lvlText w:val=""/>
      <w:lvlJc w:val="left"/>
      <w:pPr>
        <w:ind w:left="720" w:hanging="360"/>
      </w:pPr>
      <w:rPr>
        <w:rFonts w:ascii="Symbol" w:hAnsi="Symbol" w:hint="default"/>
        <w:color w:val="000000"/>
      </w:rPr>
    </w:lvl>
    <w:lvl w:ilvl="1" w:tplc="B2EE0970" w:tentative="1">
      <w:start w:val="1"/>
      <w:numFmt w:val="bullet"/>
      <w:lvlText w:val="o"/>
      <w:lvlJc w:val="left"/>
      <w:pPr>
        <w:ind w:left="1440" w:hanging="360"/>
      </w:pPr>
      <w:rPr>
        <w:rFonts w:ascii="Courier New" w:hAnsi="Courier New" w:cs="Courier New" w:hint="default"/>
      </w:rPr>
    </w:lvl>
    <w:lvl w:ilvl="2" w:tplc="85F6C150" w:tentative="1">
      <w:start w:val="1"/>
      <w:numFmt w:val="bullet"/>
      <w:lvlText w:val=""/>
      <w:lvlJc w:val="left"/>
      <w:pPr>
        <w:ind w:left="2160" w:hanging="360"/>
      </w:pPr>
      <w:rPr>
        <w:rFonts w:ascii="Wingdings" w:hAnsi="Wingdings" w:hint="default"/>
      </w:rPr>
    </w:lvl>
    <w:lvl w:ilvl="3" w:tplc="ADAC1180" w:tentative="1">
      <w:start w:val="1"/>
      <w:numFmt w:val="bullet"/>
      <w:lvlText w:val=""/>
      <w:lvlJc w:val="left"/>
      <w:pPr>
        <w:ind w:left="2880" w:hanging="360"/>
      </w:pPr>
      <w:rPr>
        <w:rFonts w:ascii="Symbol" w:hAnsi="Symbol" w:hint="default"/>
      </w:rPr>
    </w:lvl>
    <w:lvl w:ilvl="4" w:tplc="B448AB30" w:tentative="1">
      <w:start w:val="1"/>
      <w:numFmt w:val="bullet"/>
      <w:lvlText w:val="o"/>
      <w:lvlJc w:val="left"/>
      <w:pPr>
        <w:ind w:left="3600" w:hanging="360"/>
      </w:pPr>
      <w:rPr>
        <w:rFonts w:ascii="Courier New" w:hAnsi="Courier New" w:cs="Courier New" w:hint="default"/>
      </w:rPr>
    </w:lvl>
    <w:lvl w:ilvl="5" w:tplc="BC28FB00" w:tentative="1">
      <w:start w:val="1"/>
      <w:numFmt w:val="bullet"/>
      <w:lvlText w:val=""/>
      <w:lvlJc w:val="left"/>
      <w:pPr>
        <w:ind w:left="4320" w:hanging="360"/>
      </w:pPr>
      <w:rPr>
        <w:rFonts w:ascii="Wingdings" w:hAnsi="Wingdings" w:hint="default"/>
      </w:rPr>
    </w:lvl>
    <w:lvl w:ilvl="6" w:tplc="D6947212" w:tentative="1">
      <w:start w:val="1"/>
      <w:numFmt w:val="bullet"/>
      <w:lvlText w:val=""/>
      <w:lvlJc w:val="left"/>
      <w:pPr>
        <w:ind w:left="5040" w:hanging="360"/>
      </w:pPr>
      <w:rPr>
        <w:rFonts w:ascii="Symbol" w:hAnsi="Symbol" w:hint="default"/>
      </w:rPr>
    </w:lvl>
    <w:lvl w:ilvl="7" w:tplc="80CC6F18" w:tentative="1">
      <w:start w:val="1"/>
      <w:numFmt w:val="bullet"/>
      <w:lvlText w:val="o"/>
      <w:lvlJc w:val="left"/>
      <w:pPr>
        <w:ind w:left="5760" w:hanging="360"/>
      </w:pPr>
      <w:rPr>
        <w:rFonts w:ascii="Courier New" w:hAnsi="Courier New" w:cs="Courier New" w:hint="default"/>
      </w:rPr>
    </w:lvl>
    <w:lvl w:ilvl="8" w:tplc="72F8FACC" w:tentative="1">
      <w:start w:val="1"/>
      <w:numFmt w:val="bullet"/>
      <w:lvlText w:val=""/>
      <w:lvlJc w:val="left"/>
      <w:pPr>
        <w:ind w:left="6480" w:hanging="360"/>
      </w:pPr>
      <w:rPr>
        <w:rFonts w:ascii="Wingdings" w:hAnsi="Wingdings" w:hint="default"/>
      </w:rPr>
    </w:lvl>
  </w:abstractNum>
  <w:abstractNum w:abstractNumId="28" w15:restartNumberingAfterBreak="0">
    <w:nsid w:val="44D67987"/>
    <w:multiLevelType w:val="hybridMultilevel"/>
    <w:tmpl w:val="EBD6FB80"/>
    <w:lvl w:ilvl="0" w:tplc="9A56653E">
      <w:start w:val="1"/>
      <w:numFmt w:val="bullet"/>
      <w:pStyle w:val="subclause1Bullet2"/>
      <w:lvlText w:val=""/>
      <w:lvlJc w:val="left"/>
      <w:pPr>
        <w:ind w:left="1440" w:hanging="360"/>
      </w:pPr>
      <w:rPr>
        <w:rFonts w:ascii="Symbol" w:hAnsi="Symbol" w:hint="default"/>
        <w:color w:val="000000"/>
      </w:rPr>
    </w:lvl>
    <w:lvl w:ilvl="1" w:tplc="65DE4B2A" w:tentative="1">
      <w:start w:val="1"/>
      <w:numFmt w:val="bullet"/>
      <w:lvlText w:val="o"/>
      <w:lvlJc w:val="left"/>
      <w:pPr>
        <w:ind w:left="2160" w:hanging="360"/>
      </w:pPr>
      <w:rPr>
        <w:rFonts w:ascii="Courier New" w:hAnsi="Courier New" w:cs="Courier New" w:hint="default"/>
      </w:rPr>
    </w:lvl>
    <w:lvl w:ilvl="2" w:tplc="FDC2B82A" w:tentative="1">
      <w:start w:val="1"/>
      <w:numFmt w:val="bullet"/>
      <w:lvlText w:val=""/>
      <w:lvlJc w:val="left"/>
      <w:pPr>
        <w:ind w:left="2880" w:hanging="360"/>
      </w:pPr>
      <w:rPr>
        <w:rFonts w:ascii="Wingdings" w:hAnsi="Wingdings" w:hint="default"/>
      </w:rPr>
    </w:lvl>
    <w:lvl w:ilvl="3" w:tplc="C1EC0098" w:tentative="1">
      <w:start w:val="1"/>
      <w:numFmt w:val="bullet"/>
      <w:lvlText w:val=""/>
      <w:lvlJc w:val="left"/>
      <w:pPr>
        <w:ind w:left="3600" w:hanging="360"/>
      </w:pPr>
      <w:rPr>
        <w:rFonts w:ascii="Symbol" w:hAnsi="Symbol" w:hint="default"/>
      </w:rPr>
    </w:lvl>
    <w:lvl w:ilvl="4" w:tplc="04CA0CEA" w:tentative="1">
      <w:start w:val="1"/>
      <w:numFmt w:val="bullet"/>
      <w:lvlText w:val="o"/>
      <w:lvlJc w:val="left"/>
      <w:pPr>
        <w:ind w:left="4320" w:hanging="360"/>
      </w:pPr>
      <w:rPr>
        <w:rFonts w:ascii="Courier New" w:hAnsi="Courier New" w:cs="Courier New" w:hint="default"/>
      </w:rPr>
    </w:lvl>
    <w:lvl w:ilvl="5" w:tplc="D4EA9F6E" w:tentative="1">
      <w:start w:val="1"/>
      <w:numFmt w:val="bullet"/>
      <w:lvlText w:val=""/>
      <w:lvlJc w:val="left"/>
      <w:pPr>
        <w:ind w:left="5040" w:hanging="360"/>
      </w:pPr>
      <w:rPr>
        <w:rFonts w:ascii="Wingdings" w:hAnsi="Wingdings" w:hint="default"/>
      </w:rPr>
    </w:lvl>
    <w:lvl w:ilvl="6" w:tplc="EBB411F8" w:tentative="1">
      <w:start w:val="1"/>
      <w:numFmt w:val="bullet"/>
      <w:lvlText w:val=""/>
      <w:lvlJc w:val="left"/>
      <w:pPr>
        <w:ind w:left="5760" w:hanging="360"/>
      </w:pPr>
      <w:rPr>
        <w:rFonts w:ascii="Symbol" w:hAnsi="Symbol" w:hint="default"/>
      </w:rPr>
    </w:lvl>
    <w:lvl w:ilvl="7" w:tplc="B890E490" w:tentative="1">
      <w:start w:val="1"/>
      <w:numFmt w:val="bullet"/>
      <w:lvlText w:val="o"/>
      <w:lvlJc w:val="left"/>
      <w:pPr>
        <w:ind w:left="6480" w:hanging="360"/>
      </w:pPr>
      <w:rPr>
        <w:rFonts w:ascii="Courier New" w:hAnsi="Courier New" w:cs="Courier New" w:hint="default"/>
      </w:rPr>
    </w:lvl>
    <w:lvl w:ilvl="8" w:tplc="1B0E65A8" w:tentative="1">
      <w:start w:val="1"/>
      <w:numFmt w:val="bullet"/>
      <w:lvlText w:val=""/>
      <w:lvlJc w:val="left"/>
      <w:pPr>
        <w:ind w:left="7200" w:hanging="360"/>
      </w:pPr>
      <w:rPr>
        <w:rFonts w:ascii="Wingdings" w:hAnsi="Wingdings" w:hint="default"/>
      </w:rPr>
    </w:lvl>
  </w:abstractNum>
  <w:abstractNum w:abstractNumId="29" w15:restartNumberingAfterBreak="0">
    <w:nsid w:val="44E96665"/>
    <w:multiLevelType w:val="hybridMultilevel"/>
    <w:tmpl w:val="EF1E142A"/>
    <w:lvl w:ilvl="0" w:tplc="4914E3FA">
      <w:start w:val="1"/>
      <w:numFmt w:val="bullet"/>
      <w:pStyle w:val="subclause3Bullet1"/>
      <w:lvlText w:val=""/>
      <w:lvlJc w:val="left"/>
      <w:pPr>
        <w:ind w:left="2988" w:hanging="360"/>
      </w:pPr>
      <w:rPr>
        <w:rFonts w:ascii="Symbol" w:hAnsi="Symbol" w:hint="default"/>
        <w:color w:val="000000"/>
      </w:rPr>
    </w:lvl>
    <w:lvl w:ilvl="1" w:tplc="6EC4ED5A" w:tentative="1">
      <w:start w:val="1"/>
      <w:numFmt w:val="bullet"/>
      <w:lvlText w:val="o"/>
      <w:lvlJc w:val="left"/>
      <w:pPr>
        <w:ind w:left="3708" w:hanging="360"/>
      </w:pPr>
      <w:rPr>
        <w:rFonts w:ascii="Courier New" w:hAnsi="Courier New" w:cs="Courier New" w:hint="default"/>
      </w:rPr>
    </w:lvl>
    <w:lvl w:ilvl="2" w:tplc="1856DCD6" w:tentative="1">
      <w:start w:val="1"/>
      <w:numFmt w:val="bullet"/>
      <w:lvlText w:val=""/>
      <w:lvlJc w:val="left"/>
      <w:pPr>
        <w:ind w:left="4428" w:hanging="360"/>
      </w:pPr>
      <w:rPr>
        <w:rFonts w:ascii="Wingdings" w:hAnsi="Wingdings" w:hint="default"/>
      </w:rPr>
    </w:lvl>
    <w:lvl w:ilvl="3" w:tplc="792C188E" w:tentative="1">
      <w:start w:val="1"/>
      <w:numFmt w:val="bullet"/>
      <w:lvlText w:val=""/>
      <w:lvlJc w:val="left"/>
      <w:pPr>
        <w:ind w:left="5148" w:hanging="360"/>
      </w:pPr>
      <w:rPr>
        <w:rFonts w:ascii="Symbol" w:hAnsi="Symbol" w:hint="default"/>
      </w:rPr>
    </w:lvl>
    <w:lvl w:ilvl="4" w:tplc="759C7A6E" w:tentative="1">
      <w:start w:val="1"/>
      <w:numFmt w:val="bullet"/>
      <w:lvlText w:val="o"/>
      <w:lvlJc w:val="left"/>
      <w:pPr>
        <w:ind w:left="5868" w:hanging="360"/>
      </w:pPr>
      <w:rPr>
        <w:rFonts w:ascii="Courier New" w:hAnsi="Courier New" w:cs="Courier New" w:hint="default"/>
      </w:rPr>
    </w:lvl>
    <w:lvl w:ilvl="5" w:tplc="715E824C" w:tentative="1">
      <w:start w:val="1"/>
      <w:numFmt w:val="bullet"/>
      <w:lvlText w:val=""/>
      <w:lvlJc w:val="left"/>
      <w:pPr>
        <w:ind w:left="6588" w:hanging="360"/>
      </w:pPr>
      <w:rPr>
        <w:rFonts w:ascii="Wingdings" w:hAnsi="Wingdings" w:hint="default"/>
      </w:rPr>
    </w:lvl>
    <w:lvl w:ilvl="6" w:tplc="2D02ED0E" w:tentative="1">
      <w:start w:val="1"/>
      <w:numFmt w:val="bullet"/>
      <w:lvlText w:val=""/>
      <w:lvlJc w:val="left"/>
      <w:pPr>
        <w:ind w:left="7308" w:hanging="360"/>
      </w:pPr>
      <w:rPr>
        <w:rFonts w:ascii="Symbol" w:hAnsi="Symbol" w:hint="default"/>
      </w:rPr>
    </w:lvl>
    <w:lvl w:ilvl="7" w:tplc="EC6C99A8" w:tentative="1">
      <w:start w:val="1"/>
      <w:numFmt w:val="bullet"/>
      <w:lvlText w:val="o"/>
      <w:lvlJc w:val="left"/>
      <w:pPr>
        <w:ind w:left="8028" w:hanging="360"/>
      </w:pPr>
      <w:rPr>
        <w:rFonts w:ascii="Courier New" w:hAnsi="Courier New" w:cs="Courier New" w:hint="default"/>
      </w:rPr>
    </w:lvl>
    <w:lvl w:ilvl="8" w:tplc="4B521A06" w:tentative="1">
      <w:start w:val="1"/>
      <w:numFmt w:val="bullet"/>
      <w:lvlText w:val=""/>
      <w:lvlJc w:val="left"/>
      <w:pPr>
        <w:ind w:left="8748" w:hanging="360"/>
      </w:pPr>
      <w:rPr>
        <w:rFonts w:ascii="Wingdings" w:hAnsi="Wingdings" w:hint="default"/>
      </w:rPr>
    </w:lvl>
  </w:abstractNum>
  <w:abstractNum w:abstractNumId="30" w15:restartNumberingAfterBreak="0">
    <w:nsid w:val="46AC04C6"/>
    <w:multiLevelType w:val="hybridMultilevel"/>
    <w:tmpl w:val="E6C47700"/>
    <w:lvl w:ilvl="0" w:tplc="22EC1630">
      <w:start w:val="1"/>
      <w:numFmt w:val="bullet"/>
      <w:pStyle w:val="subclause2Bullet1"/>
      <w:lvlText w:val=""/>
      <w:lvlJc w:val="left"/>
      <w:pPr>
        <w:ind w:left="2279" w:hanging="360"/>
      </w:pPr>
      <w:rPr>
        <w:rFonts w:ascii="Symbol" w:hAnsi="Symbol" w:hint="default"/>
        <w:color w:val="000000"/>
      </w:rPr>
    </w:lvl>
    <w:lvl w:ilvl="1" w:tplc="6DF4889C" w:tentative="1">
      <w:start w:val="1"/>
      <w:numFmt w:val="bullet"/>
      <w:lvlText w:val="o"/>
      <w:lvlJc w:val="left"/>
      <w:pPr>
        <w:ind w:left="2999" w:hanging="360"/>
      </w:pPr>
      <w:rPr>
        <w:rFonts w:ascii="Courier New" w:hAnsi="Courier New" w:cs="Courier New" w:hint="default"/>
      </w:rPr>
    </w:lvl>
    <w:lvl w:ilvl="2" w:tplc="3BE09122" w:tentative="1">
      <w:start w:val="1"/>
      <w:numFmt w:val="bullet"/>
      <w:lvlText w:val=""/>
      <w:lvlJc w:val="left"/>
      <w:pPr>
        <w:ind w:left="3719" w:hanging="360"/>
      </w:pPr>
      <w:rPr>
        <w:rFonts w:ascii="Wingdings" w:hAnsi="Wingdings" w:hint="default"/>
      </w:rPr>
    </w:lvl>
    <w:lvl w:ilvl="3" w:tplc="60425B8C" w:tentative="1">
      <w:start w:val="1"/>
      <w:numFmt w:val="bullet"/>
      <w:lvlText w:val=""/>
      <w:lvlJc w:val="left"/>
      <w:pPr>
        <w:ind w:left="4439" w:hanging="360"/>
      </w:pPr>
      <w:rPr>
        <w:rFonts w:ascii="Symbol" w:hAnsi="Symbol" w:hint="default"/>
      </w:rPr>
    </w:lvl>
    <w:lvl w:ilvl="4" w:tplc="5EDA2F9A" w:tentative="1">
      <w:start w:val="1"/>
      <w:numFmt w:val="bullet"/>
      <w:lvlText w:val="o"/>
      <w:lvlJc w:val="left"/>
      <w:pPr>
        <w:ind w:left="5159" w:hanging="360"/>
      </w:pPr>
      <w:rPr>
        <w:rFonts w:ascii="Courier New" w:hAnsi="Courier New" w:cs="Courier New" w:hint="default"/>
      </w:rPr>
    </w:lvl>
    <w:lvl w:ilvl="5" w:tplc="797AE1C4" w:tentative="1">
      <w:start w:val="1"/>
      <w:numFmt w:val="bullet"/>
      <w:lvlText w:val=""/>
      <w:lvlJc w:val="left"/>
      <w:pPr>
        <w:ind w:left="5879" w:hanging="360"/>
      </w:pPr>
      <w:rPr>
        <w:rFonts w:ascii="Wingdings" w:hAnsi="Wingdings" w:hint="default"/>
      </w:rPr>
    </w:lvl>
    <w:lvl w:ilvl="6" w:tplc="B0F07598" w:tentative="1">
      <w:start w:val="1"/>
      <w:numFmt w:val="bullet"/>
      <w:lvlText w:val=""/>
      <w:lvlJc w:val="left"/>
      <w:pPr>
        <w:ind w:left="6599" w:hanging="360"/>
      </w:pPr>
      <w:rPr>
        <w:rFonts w:ascii="Symbol" w:hAnsi="Symbol" w:hint="default"/>
      </w:rPr>
    </w:lvl>
    <w:lvl w:ilvl="7" w:tplc="E95C19E2" w:tentative="1">
      <w:start w:val="1"/>
      <w:numFmt w:val="bullet"/>
      <w:lvlText w:val="o"/>
      <w:lvlJc w:val="left"/>
      <w:pPr>
        <w:ind w:left="7319" w:hanging="360"/>
      </w:pPr>
      <w:rPr>
        <w:rFonts w:ascii="Courier New" w:hAnsi="Courier New" w:cs="Courier New" w:hint="default"/>
      </w:rPr>
    </w:lvl>
    <w:lvl w:ilvl="8" w:tplc="74D6B954" w:tentative="1">
      <w:start w:val="1"/>
      <w:numFmt w:val="bullet"/>
      <w:lvlText w:val=""/>
      <w:lvlJc w:val="left"/>
      <w:pPr>
        <w:ind w:left="8039" w:hanging="360"/>
      </w:pPr>
      <w:rPr>
        <w:rFonts w:ascii="Wingdings" w:hAnsi="Wingdings" w:hint="default"/>
      </w:rPr>
    </w:lvl>
  </w:abstractNum>
  <w:abstractNum w:abstractNumId="31" w15:restartNumberingAfterBreak="0">
    <w:nsid w:val="47F42723"/>
    <w:multiLevelType w:val="hybridMultilevel"/>
    <w:tmpl w:val="C5A02EE6"/>
    <w:lvl w:ilvl="0" w:tplc="7228DAF8">
      <w:start w:val="1"/>
      <w:numFmt w:val="bullet"/>
      <w:pStyle w:val="subclause1Bullet1"/>
      <w:lvlText w:val=""/>
      <w:lvlJc w:val="left"/>
      <w:pPr>
        <w:ind w:left="1440" w:hanging="360"/>
      </w:pPr>
      <w:rPr>
        <w:rFonts w:ascii="Symbol" w:hAnsi="Symbol" w:hint="default"/>
        <w:color w:val="000000"/>
      </w:rPr>
    </w:lvl>
    <w:lvl w:ilvl="1" w:tplc="0BE47DBA" w:tentative="1">
      <w:start w:val="1"/>
      <w:numFmt w:val="bullet"/>
      <w:lvlText w:val="o"/>
      <w:lvlJc w:val="left"/>
      <w:pPr>
        <w:ind w:left="2160" w:hanging="360"/>
      </w:pPr>
      <w:rPr>
        <w:rFonts w:ascii="Courier New" w:hAnsi="Courier New" w:cs="Courier New" w:hint="default"/>
      </w:rPr>
    </w:lvl>
    <w:lvl w:ilvl="2" w:tplc="ADC0502E" w:tentative="1">
      <w:start w:val="1"/>
      <w:numFmt w:val="bullet"/>
      <w:lvlText w:val=""/>
      <w:lvlJc w:val="left"/>
      <w:pPr>
        <w:ind w:left="2880" w:hanging="360"/>
      </w:pPr>
      <w:rPr>
        <w:rFonts w:ascii="Wingdings" w:hAnsi="Wingdings" w:hint="default"/>
      </w:rPr>
    </w:lvl>
    <w:lvl w:ilvl="3" w:tplc="5A0CED16" w:tentative="1">
      <w:start w:val="1"/>
      <w:numFmt w:val="bullet"/>
      <w:lvlText w:val=""/>
      <w:lvlJc w:val="left"/>
      <w:pPr>
        <w:ind w:left="3600" w:hanging="360"/>
      </w:pPr>
      <w:rPr>
        <w:rFonts w:ascii="Symbol" w:hAnsi="Symbol" w:hint="default"/>
      </w:rPr>
    </w:lvl>
    <w:lvl w:ilvl="4" w:tplc="02608E76" w:tentative="1">
      <w:start w:val="1"/>
      <w:numFmt w:val="bullet"/>
      <w:lvlText w:val="o"/>
      <w:lvlJc w:val="left"/>
      <w:pPr>
        <w:ind w:left="4320" w:hanging="360"/>
      </w:pPr>
      <w:rPr>
        <w:rFonts w:ascii="Courier New" w:hAnsi="Courier New" w:cs="Courier New" w:hint="default"/>
      </w:rPr>
    </w:lvl>
    <w:lvl w:ilvl="5" w:tplc="B3E62FB2" w:tentative="1">
      <w:start w:val="1"/>
      <w:numFmt w:val="bullet"/>
      <w:lvlText w:val=""/>
      <w:lvlJc w:val="left"/>
      <w:pPr>
        <w:ind w:left="5040" w:hanging="360"/>
      </w:pPr>
      <w:rPr>
        <w:rFonts w:ascii="Wingdings" w:hAnsi="Wingdings" w:hint="default"/>
      </w:rPr>
    </w:lvl>
    <w:lvl w:ilvl="6" w:tplc="041CECC2" w:tentative="1">
      <w:start w:val="1"/>
      <w:numFmt w:val="bullet"/>
      <w:lvlText w:val=""/>
      <w:lvlJc w:val="left"/>
      <w:pPr>
        <w:ind w:left="5760" w:hanging="360"/>
      </w:pPr>
      <w:rPr>
        <w:rFonts w:ascii="Symbol" w:hAnsi="Symbol" w:hint="default"/>
      </w:rPr>
    </w:lvl>
    <w:lvl w:ilvl="7" w:tplc="563E2266" w:tentative="1">
      <w:start w:val="1"/>
      <w:numFmt w:val="bullet"/>
      <w:lvlText w:val="o"/>
      <w:lvlJc w:val="left"/>
      <w:pPr>
        <w:ind w:left="6480" w:hanging="360"/>
      </w:pPr>
      <w:rPr>
        <w:rFonts w:ascii="Courier New" w:hAnsi="Courier New" w:cs="Courier New" w:hint="default"/>
      </w:rPr>
    </w:lvl>
    <w:lvl w:ilvl="8" w:tplc="2FC8799A" w:tentative="1">
      <w:start w:val="1"/>
      <w:numFmt w:val="bullet"/>
      <w:lvlText w:val=""/>
      <w:lvlJc w:val="left"/>
      <w:pPr>
        <w:ind w:left="7200" w:hanging="360"/>
      </w:pPr>
      <w:rPr>
        <w:rFonts w:ascii="Wingdings" w:hAnsi="Wingdings" w:hint="default"/>
      </w:rPr>
    </w:lvl>
  </w:abstractNum>
  <w:abstractNum w:abstractNumId="32" w15:restartNumberingAfterBreak="0">
    <w:nsid w:val="55CB0AF0"/>
    <w:multiLevelType w:val="hybridMultilevel"/>
    <w:tmpl w:val="EB98B43A"/>
    <w:lvl w:ilvl="0" w:tplc="869478F2">
      <w:start w:val="1"/>
      <w:numFmt w:val="decimal"/>
      <w:pStyle w:val="LongQuestionPara"/>
      <w:lvlText w:val="%1."/>
      <w:lvlJc w:val="left"/>
      <w:pPr>
        <w:ind w:left="360" w:hanging="360"/>
      </w:pPr>
      <w:rPr>
        <w:rFonts w:hint="default"/>
        <w:b/>
        <w:i w:val="0"/>
        <w:color w:val="000000"/>
        <w:sz w:val="24"/>
      </w:rPr>
    </w:lvl>
    <w:lvl w:ilvl="1" w:tplc="60C84CCC" w:tentative="1">
      <w:start w:val="1"/>
      <w:numFmt w:val="lowerLetter"/>
      <w:lvlText w:val="%2."/>
      <w:lvlJc w:val="left"/>
      <w:pPr>
        <w:ind w:left="1440" w:hanging="360"/>
      </w:pPr>
    </w:lvl>
    <w:lvl w:ilvl="2" w:tplc="B92A08AC" w:tentative="1">
      <w:start w:val="1"/>
      <w:numFmt w:val="lowerRoman"/>
      <w:lvlText w:val="%3."/>
      <w:lvlJc w:val="right"/>
      <w:pPr>
        <w:ind w:left="2160" w:hanging="180"/>
      </w:pPr>
    </w:lvl>
    <w:lvl w:ilvl="3" w:tplc="0448791A" w:tentative="1">
      <w:start w:val="1"/>
      <w:numFmt w:val="decimal"/>
      <w:lvlText w:val="%4."/>
      <w:lvlJc w:val="left"/>
      <w:pPr>
        <w:ind w:left="2880" w:hanging="360"/>
      </w:pPr>
    </w:lvl>
    <w:lvl w:ilvl="4" w:tplc="5E7ADD64" w:tentative="1">
      <w:start w:val="1"/>
      <w:numFmt w:val="lowerLetter"/>
      <w:lvlText w:val="%5."/>
      <w:lvlJc w:val="left"/>
      <w:pPr>
        <w:ind w:left="3600" w:hanging="360"/>
      </w:pPr>
    </w:lvl>
    <w:lvl w:ilvl="5" w:tplc="DAC657F0" w:tentative="1">
      <w:start w:val="1"/>
      <w:numFmt w:val="lowerRoman"/>
      <w:lvlText w:val="%6."/>
      <w:lvlJc w:val="right"/>
      <w:pPr>
        <w:ind w:left="4320" w:hanging="180"/>
      </w:pPr>
    </w:lvl>
    <w:lvl w:ilvl="6" w:tplc="F19C89FA" w:tentative="1">
      <w:start w:val="1"/>
      <w:numFmt w:val="decimal"/>
      <w:lvlText w:val="%7."/>
      <w:lvlJc w:val="left"/>
      <w:pPr>
        <w:ind w:left="5040" w:hanging="360"/>
      </w:pPr>
    </w:lvl>
    <w:lvl w:ilvl="7" w:tplc="C082E462" w:tentative="1">
      <w:start w:val="1"/>
      <w:numFmt w:val="lowerLetter"/>
      <w:lvlText w:val="%8."/>
      <w:lvlJc w:val="left"/>
      <w:pPr>
        <w:ind w:left="5760" w:hanging="360"/>
      </w:pPr>
    </w:lvl>
    <w:lvl w:ilvl="8" w:tplc="18A8376C" w:tentative="1">
      <w:start w:val="1"/>
      <w:numFmt w:val="lowerRoman"/>
      <w:lvlText w:val="%9."/>
      <w:lvlJc w:val="right"/>
      <w:pPr>
        <w:ind w:left="6480" w:hanging="180"/>
      </w:pPr>
    </w:lvl>
  </w:abstractNum>
  <w:abstractNum w:abstractNumId="33" w15:restartNumberingAfterBreak="0">
    <w:nsid w:val="573841A3"/>
    <w:multiLevelType w:val="multilevel"/>
    <w:tmpl w:val="08090029"/>
    <w:lvl w:ilvl="0">
      <w:start w:val="1"/>
      <w:numFmt w:val="decimal"/>
      <w:pStyle w:val="Heading1"/>
      <w:suff w:val="space"/>
      <w:lvlText w:val="Chapter %1"/>
      <w:lvlJc w:val="left"/>
      <w:pPr>
        <w:ind w:left="0" w:firstLine="0"/>
      </w:pPr>
      <w:rPr>
        <w:color w:val="000000"/>
      </w:rPr>
    </w:lvl>
    <w:lvl w:ilvl="1">
      <w:start w:val="1"/>
      <w:numFmt w:val="none"/>
      <w:pStyle w:val="Heading2"/>
      <w:suff w:val="nothing"/>
      <w:lvlText w:val=""/>
      <w:lvlJc w:val="left"/>
      <w:pPr>
        <w:ind w:left="0" w:firstLine="0"/>
      </w:pPr>
    </w:lvl>
    <w:lvl w:ilvl="2">
      <w:start w:val="1"/>
      <w:numFmt w:val="none"/>
      <w:pStyle w:val="Heading3"/>
      <w:suff w:val="nothing"/>
      <w:lvlText w:val=""/>
      <w:lvlJc w:val="left"/>
      <w:pPr>
        <w:ind w:left="0" w:firstLine="0"/>
      </w:pPr>
      <w:rPr>
        <w:color w:val="000000"/>
      </w:rPr>
    </w:lvl>
    <w:lvl w:ilvl="3">
      <w:start w:val="1"/>
      <w:numFmt w:val="none"/>
      <w:pStyle w:val="Heading4"/>
      <w:suff w:val="nothing"/>
      <w:lvlText w:val=""/>
      <w:lvlJc w:val="left"/>
      <w:pPr>
        <w:ind w:left="0" w:firstLine="0"/>
      </w:pPr>
    </w:lvl>
    <w:lvl w:ilvl="4">
      <w:start w:val="1"/>
      <w:numFmt w:val="none"/>
      <w:pStyle w:val="Heading5"/>
      <w:suff w:val="nothing"/>
      <w:lvlText w:val=""/>
      <w:lvlJc w:val="left"/>
      <w:pPr>
        <w:ind w:left="0" w:firstLine="0"/>
      </w:pPr>
    </w:lvl>
    <w:lvl w:ilvl="5">
      <w:start w:val="1"/>
      <w:numFmt w:val="none"/>
      <w:pStyle w:val="Heading6"/>
      <w:suff w:val="nothing"/>
      <w:lvlText w:val=""/>
      <w:lvlJc w:val="left"/>
      <w:pPr>
        <w:ind w:left="0" w:firstLine="0"/>
      </w:pPr>
    </w:lvl>
    <w:lvl w:ilvl="6">
      <w:start w:val="1"/>
      <w:numFmt w:val="none"/>
      <w:pStyle w:val="Heading7"/>
      <w:suff w:val="nothing"/>
      <w:lvlText w:val=""/>
      <w:lvlJc w:val="left"/>
      <w:pPr>
        <w:ind w:left="0" w:firstLine="0"/>
      </w:pPr>
    </w:lvl>
    <w:lvl w:ilvl="7">
      <w:start w:val="1"/>
      <w:numFmt w:val="none"/>
      <w:pStyle w:val="Heading8"/>
      <w:suff w:val="nothing"/>
      <w:lvlText w:val=""/>
      <w:lvlJc w:val="left"/>
      <w:pPr>
        <w:ind w:left="0" w:firstLine="0"/>
      </w:pPr>
    </w:lvl>
    <w:lvl w:ilvl="8">
      <w:start w:val="1"/>
      <w:numFmt w:val="none"/>
      <w:pStyle w:val="Heading9"/>
      <w:suff w:val="nothing"/>
      <w:lvlText w:val=""/>
      <w:lvlJc w:val="left"/>
      <w:pPr>
        <w:ind w:left="0" w:firstLine="0"/>
      </w:pPr>
    </w:lvl>
  </w:abstractNum>
  <w:abstractNum w:abstractNumId="34" w15:restartNumberingAfterBreak="0">
    <w:nsid w:val="5D206610"/>
    <w:multiLevelType w:val="hybridMultilevel"/>
    <w:tmpl w:val="31700046"/>
    <w:lvl w:ilvl="0" w:tplc="651E8C0E">
      <w:start w:val="1"/>
      <w:numFmt w:val="lowerLetter"/>
      <w:lvlText w:val="(%1)"/>
      <w:lvlJc w:val="left"/>
      <w:pPr>
        <w:ind w:left="1440" w:hanging="360"/>
      </w:pPr>
      <w:rPr>
        <w:rFonts w:hint="default"/>
        <w:color w:val="000000"/>
      </w:rPr>
    </w:lvl>
    <w:lvl w:ilvl="1" w:tplc="8C7298CE" w:tentative="1">
      <w:start w:val="1"/>
      <w:numFmt w:val="lowerLetter"/>
      <w:lvlText w:val="%2."/>
      <w:lvlJc w:val="left"/>
      <w:pPr>
        <w:ind w:left="2160" w:hanging="360"/>
      </w:pPr>
    </w:lvl>
    <w:lvl w:ilvl="2" w:tplc="7EB2F270" w:tentative="1">
      <w:start w:val="1"/>
      <w:numFmt w:val="lowerRoman"/>
      <w:lvlText w:val="%3."/>
      <w:lvlJc w:val="right"/>
      <w:pPr>
        <w:ind w:left="2880" w:hanging="180"/>
      </w:pPr>
    </w:lvl>
    <w:lvl w:ilvl="3" w:tplc="4FB0989C" w:tentative="1">
      <w:start w:val="1"/>
      <w:numFmt w:val="decimal"/>
      <w:lvlText w:val="%4."/>
      <w:lvlJc w:val="left"/>
      <w:pPr>
        <w:ind w:left="3600" w:hanging="360"/>
      </w:pPr>
    </w:lvl>
    <w:lvl w:ilvl="4" w:tplc="07744F64" w:tentative="1">
      <w:start w:val="1"/>
      <w:numFmt w:val="lowerLetter"/>
      <w:lvlText w:val="%5."/>
      <w:lvlJc w:val="left"/>
      <w:pPr>
        <w:ind w:left="4320" w:hanging="360"/>
      </w:pPr>
    </w:lvl>
    <w:lvl w:ilvl="5" w:tplc="17321A4C" w:tentative="1">
      <w:start w:val="1"/>
      <w:numFmt w:val="lowerRoman"/>
      <w:lvlText w:val="%6."/>
      <w:lvlJc w:val="right"/>
      <w:pPr>
        <w:ind w:left="5040" w:hanging="180"/>
      </w:pPr>
    </w:lvl>
    <w:lvl w:ilvl="6" w:tplc="3D8A2AE4" w:tentative="1">
      <w:start w:val="1"/>
      <w:numFmt w:val="decimal"/>
      <w:lvlText w:val="%7."/>
      <w:lvlJc w:val="left"/>
      <w:pPr>
        <w:ind w:left="5760" w:hanging="360"/>
      </w:pPr>
    </w:lvl>
    <w:lvl w:ilvl="7" w:tplc="B02ACC68" w:tentative="1">
      <w:start w:val="1"/>
      <w:numFmt w:val="lowerLetter"/>
      <w:lvlText w:val="%8."/>
      <w:lvlJc w:val="left"/>
      <w:pPr>
        <w:ind w:left="6480" w:hanging="360"/>
      </w:pPr>
    </w:lvl>
    <w:lvl w:ilvl="8" w:tplc="3C8C202A" w:tentative="1">
      <w:start w:val="1"/>
      <w:numFmt w:val="lowerRoman"/>
      <w:lvlText w:val="%9."/>
      <w:lvlJc w:val="right"/>
      <w:pPr>
        <w:ind w:left="7200" w:hanging="180"/>
      </w:pPr>
    </w:lvl>
  </w:abstractNum>
  <w:abstractNum w:abstractNumId="35" w15:restartNumberingAfterBreak="0">
    <w:nsid w:val="61071422"/>
    <w:multiLevelType w:val="hybridMultilevel"/>
    <w:tmpl w:val="59B858D8"/>
    <w:lvl w:ilvl="0" w:tplc="0E1241FA">
      <w:start w:val="1"/>
      <w:numFmt w:val="bullet"/>
      <w:pStyle w:val="ClauseBullet1"/>
      <w:lvlText w:val=""/>
      <w:lvlJc w:val="left"/>
      <w:pPr>
        <w:ind w:left="1080" w:hanging="360"/>
      </w:pPr>
      <w:rPr>
        <w:rFonts w:ascii="Symbol" w:hAnsi="Symbol" w:hint="default"/>
        <w:color w:val="000000"/>
      </w:rPr>
    </w:lvl>
    <w:lvl w:ilvl="1" w:tplc="A27E3396" w:tentative="1">
      <w:start w:val="1"/>
      <w:numFmt w:val="bullet"/>
      <w:lvlText w:val="o"/>
      <w:lvlJc w:val="left"/>
      <w:pPr>
        <w:ind w:left="1800" w:hanging="360"/>
      </w:pPr>
      <w:rPr>
        <w:rFonts w:ascii="Courier New" w:hAnsi="Courier New" w:cs="Courier New" w:hint="default"/>
      </w:rPr>
    </w:lvl>
    <w:lvl w:ilvl="2" w:tplc="7DE41674" w:tentative="1">
      <w:start w:val="1"/>
      <w:numFmt w:val="bullet"/>
      <w:lvlText w:val=""/>
      <w:lvlJc w:val="left"/>
      <w:pPr>
        <w:ind w:left="2520" w:hanging="360"/>
      </w:pPr>
      <w:rPr>
        <w:rFonts w:ascii="Wingdings" w:hAnsi="Wingdings" w:hint="default"/>
      </w:rPr>
    </w:lvl>
    <w:lvl w:ilvl="3" w:tplc="BD68B6AC" w:tentative="1">
      <w:start w:val="1"/>
      <w:numFmt w:val="bullet"/>
      <w:lvlText w:val=""/>
      <w:lvlJc w:val="left"/>
      <w:pPr>
        <w:ind w:left="3240" w:hanging="360"/>
      </w:pPr>
      <w:rPr>
        <w:rFonts w:ascii="Symbol" w:hAnsi="Symbol" w:hint="default"/>
      </w:rPr>
    </w:lvl>
    <w:lvl w:ilvl="4" w:tplc="94D08612" w:tentative="1">
      <w:start w:val="1"/>
      <w:numFmt w:val="bullet"/>
      <w:lvlText w:val="o"/>
      <w:lvlJc w:val="left"/>
      <w:pPr>
        <w:ind w:left="3960" w:hanging="360"/>
      </w:pPr>
      <w:rPr>
        <w:rFonts w:ascii="Courier New" w:hAnsi="Courier New" w:cs="Courier New" w:hint="default"/>
      </w:rPr>
    </w:lvl>
    <w:lvl w:ilvl="5" w:tplc="D990F1E4" w:tentative="1">
      <w:start w:val="1"/>
      <w:numFmt w:val="bullet"/>
      <w:lvlText w:val=""/>
      <w:lvlJc w:val="left"/>
      <w:pPr>
        <w:ind w:left="4680" w:hanging="360"/>
      </w:pPr>
      <w:rPr>
        <w:rFonts w:ascii="Wingdings" w:hAnsi="Wingdings" w:hint="default"/>
      </w:rPr>
    </w:lvl>
    <w:lvl w:ilvl="6" w:tplc="4E545192" w:tentative="1">
      <w:start w:val="1"/>
      <w:numFmt w:val="bullet"/>
      <w:lvlText w:val=""/>
      <w:lvlJc w:val="left"/>
      <w:pPr>
        <w:ind w:left="5400" w:hanging="360"/>
      </w:pPr>
      <w:rPr>
        <w:rFonts w:ascii="Symbol" w:hAnsi="Symbol" w:hint="default"/>
      </w:rPr>
    </w:lvl>
    <w:lvl w:ilvl="7" w:tplc="AA8C40FA" w:tentative="1">
      <w:start w:val="1"/>
      <w:numFmt w:val="bullet"/>
      <w:lvlText w:val="o"/>
      <w:lvlJc w:val="left"/>
      <w:pPr>
        <w:ind w:left="6120" w:hanging="360"/>
      </w:pPr>
      <w:rPr>
        <w:rFonts w:ascii="Courier New" w:hAnsi="Courier New" w:cs="Courier New" w:hint="default"/>
      </w:rPr>
    </w:lvl>
    <w:lvl w:ilvl="8" w:tplc="38DCA20C" w:tentative="1">
      <w:start w:val="1"/>
      <w:numFmt w:val="bullet"/>
      <w:lvlText w:val=""/>
      <w:lvlJc w:val="left"/>
      <w:pPr>
        <w:ind w:left="6840" w:hanging="360"/>
      </w:pPr>
      <w:rPr>
        <w:rFonts w:ascii="Wingdings" w:hAnsi="Wingdings" w:hint="default"/>
      </w:rPr>
    </w:lvl>
  </w:abstractNum>
  <w:abstractNum w:abstractNumId="36" w15:restartNumberingAfterBreak="0">
    <w:nsid w:val="642371CD"/>
    <w:multiLevelType w:val="hybridMultilevel"/>
    <w:tmpl w:val="3B76A654"/>
    <w:lvl w:ilvl="0" w:tplc="195E8F74">
      <w:start w:val="1"/>
      <w:numFmt w:val="bullet"/>
      <w:pStyle w:val="subclause3Bullet2"/>
      <w:lvlText w:val=""/>
      <w:lvlJc w:val="left"/>
      <w:pPr>
        <w:ind w:left="3748" w:hanging="360"/>
      </w:pPr>
      <w:rPr>
        <w:rFonts w:ascii="Symbol" w:hAnsi="Symbol" w:hint="default"/>
        <w:color w:val="000000"/>
      </w:rPr>
    </w:lvl>
    <w:lvl w:ilvl="1" w:tplc="D632F01A" w:tentative="1">
      <w:start w:val="1"/>
      <w:numFmt w:val="bullet"/>
      <w:lvlText w:val="o"/>
      <w:lvlJc w:val="left"/>
      <w:pPr>
        <w:ind w:left="4468" w:hanging="360"/>
      </w:pPr>
      <w:rPr>
        <w:rFonts w:ascii="Courier New" w:hAnsi="Courier New" w:cs="Courier New" w:hint="default"/>
      </w:rPr>
    </w:lvl>
    <w:lvl w:ilvl="2" w:tplc="BB6493C6" w:tentative="1">
      <w:start w:val="1"/>
      <w:numFmt w:val="bullet"/>
      <w:lvlText w:val=""/>
      <w:lvlJc w:val="left"/>
      <w:pPr>
        <w:ind w:left="5188" w:hanging="360"/>
      </w:pPr>
      <w:rPr>
        <w:rFonts w:ascii="Wingdings" w:hAnsi="Wingdings" w:hint="default"/>
      </w:rPr>
    </w:lvl>
    <w:lvl w:ilvl="3" w:tplc="A47809DA" w:tentative="1">
      <w:start w:val="1"/>
      <w:numFmt w:val="bullet"/>
      <w:lvlText w:val=""/>
      <w:lvlJc w:val="left"/>
      <w:pPr>
        <w:ind w:left="5908" w:hanging="360"/>
      </w:pPr>
      <w:rPr>
        <w:rFonts w:ascii="Symbol" w:hAnsi="Symbol" w:hint="default"/>
      </w:rPr>
    </w:lvl>
    <w:lvl w:ilvl="4" w:tplc="58948D9E" w:tentative="1">
      <w:start w:val="1"/>
      <w:numFmt w:val="bullet"/>
      <w:lvlText w:val="o"/>
      <w:lvlJc w:val="left"/>
      <w:pPr>
        <w:ind w:left="6628" w:hanging="360"/>
      </w:pPr>
      <w:rPr>
        <w:rFonts w:ascii="Courier New" w:hAnsi="Courier New" w:cs="Courier New" w:hint="default"/>
      </w:rPr>
    </w:lvl>
    <w:lvl w:ilvl="5" w:tplc="850C833C" w:tentative="1">
      <w:start w:val="1"/>
      <w:numFmt w:val="bullet"/>
      <w:lvlText w:val=""/>
      <w:lvlJc w:val="left"/>
      <w:pPr>
        <w:ind w:left="7348" w:hanging="360"/>
      </w:pPr>
      <w:rPr>
        <w:rFonts w:ascii="Wingdings" w:hAnsi="Wingdings" w:hint="default"/>
      </w:rPr>
    </w:lvl>
    <w:lvl w:ilvl="6" w:tplc="35D23BD0" w:tentative="1">
      <w:start w:val="1"/>
      <w:numFmt w:val="bullet"/>
      <w:lvlText w:val=""/>
      <w:lvlJc w:val="left"/>
      <w:pPr>
        <w:ind w:left="8068" w:hanging="360"/>
      </w:pPr>
      <w:rPr>
        <w:rFonts w:ascii="Symbol" w:hAnsi="Symbol" w:hint="default"/>
      </w:rPr>
    </w:lvl>
    <w:lvl w:ilvl="7" w:tplc="0DCA5ECC" w:tentative="1">
      <w:start w:val="1"/>
      <w:numFmt w:val="bullet"/>
      <w:lvlText w:val="o"/>
      <w:lvlJc w:val="left"/>
      <w:pPr>
        <w:ind w:left="8788" w:hanging="360"/>
      </w:pPr>
      <w:rPr>
        <w:rFonts w:ascii="Courier New" w:hAnsi="Courier New" w:cs="Courier New" w:hint="default"/>
      </w:rPr>
    </w:lvl>
    <w:lvl w:ilvl="8" w:tplc="427E3668" w:tentative="1">
      <w:start w:val="1"/>
      <w:numFmt w:val="bullet"/>
      <w:lvlText w:val=""/>
      <w:lvlJc w:val="left"/>
      <w:pPr>
        <w:ind w:left="9508" w:hanging="360"/>
      </w:pPr>
      <w:rPr>
        <w:rFonts w:ascii="Wingdings" w:hAnsi="Wingdings" w:hint="default"/>
      </w:rPr>
    </w:lvl>
  </w:abstractNum>
  <w:abstractNum w:abstractNumId="37" w15:restartNumberingAfterBreak="0">
    <w:nsid w:val="66966731"/>
    <w:multiLevelType w:val="multilevel"/>
    <w:tmpl w:val="4112B09A"/>
    <w:lvl w:ilvl="0">
      <w:start w:val="1"/>
      <w:numFmt w:val="upperLetter"/>
      <w:pStyle w:val="Background"/>
      <w:lvlText w:val="(%1)"/>
      <w:lvlJc w:val="left"/>
      <w:pPr>
        <w:tabs>
          <w:tab w:val="num" w:pos="720"/>
        </w:tabs>
        <w:ind w:left="720" w:hanging="720"/>
      </w:pPr>
      <w:rPr>
        <w:b w:val="0"/>
        <w:i w:val="0"/>
        <w:caps/>
        <w:color w:val="000000"/>
        <w:sz w:val="20"/>
      </w:rPr>
    </w:lvl>
    <w:lvl w:ilvl="1">
      <w:start w:val="1"/>
      <w:numFmt w:val="lowerLetter"/>
      <w:pStyle w:val="BackgroundSubclause1"/>
      <w:lvlText w:val="(%2)"/>
      <w:lvlJc w:val="left"/>
      <w:pPr>
        <w:tabs>
          <w:tab w:val="num" w:pos="1555"/>
        </w:tabs>
        <w:ind w:left="1555" w:hanging="561"/>
      </w:pPr>
      <w:rPr>
        <w:b w:val="0"/>
        <w:i w:val="0"/>
        <w:caps w:val="0"/>
        <w:sz w:val="20"/>
      </w:rPr>
    </w:lvl>
    <w:lvl w:ilvl="2">
      <w:start w:val="1"/>
      <w:numFmt w:val="lowerLetter"/>
      <w:lvlText w:val="(%3)"/>
      <w:lvlJc w:val="left"/>
      <w:pPr>
        <w:tabs>
          <w:tab w:val="num" w:pos="1559"/>
        </w:tabs>
        <w:ind w:left="1559" w:hanging="567"/>
      </w:pPr>
      <w:rPr>
        <w:b w:val="0"/>
        <w:i w:val="0"/>
        <w:sz w:val="20"/>
      </w:rPr>
    </w:lvl>
    <w:lvl w:ilvl="3">
      <w:start w:val="1"/>
      <w:numFmt w:val="lowerRoman"/>
      <w:pStyle w:val="BackgroundSubclause2"/>
      <w:lvlText w:val="(%4)"/>
      <w:lvlJc w:val="left"/>
      <w:pPr>
        <w:tabs>
          <w:tab w:val="num" w:pos="2421"/>
        </w:tabs>
        <w:ind w:left="2268" w:hanging="567"/>
      </w:pPr>
      <w:rPr>
        <w:b w:val="0"/>
        <w:i w:val="0"/>
        <w:sz w:val="20"/>
      </w:rPr>
    </w:lvl>
    <w:lvl w:ilvl="4">
      <w:start w:val="1"/>
      <w:numFmt w:val="upperLetter"/>
      <w:lvlText w:val="(%5)"/>
      <w:lvlJc w:val="left"/>
      <w:pPr>
        <w:tabs>
          <w:tab w:val="num" w:pos="2880"/>
        </w:tabs>
        <w:ind w:left="2880" w:hanging="720"/>
      </w:pPr>
      <w:rPr>
        <w:b w:val="0"/>
        <w:i w:val="0"/>
        <w:sz w:val="22"/>
      </w:rPr>
    </w:lvl>
    <w:lvl w:ilvl="5">
      <w:start w:val="1"/>
      <w:numFmt w:val="decimal"/>
      <w:lvlText w:val="%6."/>
      <w:lvlJc w:val="left"/>
      <w:pPr>
        <w:tabs>
          <w:tab w:val="num" w:pos="3600"/>
        </w:tabs>
        <w:ind w:left="3600" w:hanging="720"/>
      </w:pPr>
      <w:rPr>
        <w:b w:val="0"/>
        <w:i w:val="0"/>
        <w:sz w:val="22"/>
      </w:rPr>
    </w:lvl>
    <w:lvl w:ilvl="6">
      <w:start w:val="1"/>
      <w:numFmt w:val="decimal"/>
      <w:lvlText w:val="%7."/>
      <w:lvlJc w:val="left"/>
      <w:pPr>
        <w:tabs>
          <w:tab w:val="num" w:pos="4320"/>
        </w:tabs>
        <w:ind w:left="4320" w:hanging="720"/>
      </w:pPr>
      <w:rPr>
        <w:rFonts w:hint="default"/>
      </w:rPr>
    </w:lvl>
    <w:lvl w:ilvl="7">
      <w:start w:val="1"/>
      <w:numFmt w:val="decimal"/>
      <w:lvlText w:val="%8."/>
      <w:lvlJc w:val="left"/>
      <w:pPr>
        <w:tabs>
          <w:tab w:val="num" w:pos="5040"/>
        </w:tabs>
        <w:ind w:left="5040" w:hanging="720"/>
      </w:pPr>
      <w:rPr>
        <w:b w:val="0"/>
        <w:i w:val="0"/>
        <w:sz w:val="22"/>
      </w:rPr>
    </w:lvl>
    <w:lvl w:ilvl="8">
      <w:start w:val="1"/>
      <w:numFmt w:val="decimal"/>
      <w:lvlText w:val="%9."/>
      <w:lvlJc w:val="left"/>
      <w:pPr>
        <w:tabs>
          <w:tab w:val="num" w:pos="5760"/>
        </w:tabs>
        <w:ind w:left="5760" w:hanging="720"/>
      </w:pPr>
      <w:rPr>
        <w:b w:val="0"/>
        <w:i w:val="0"/>
        <w:sz w:val="22"/>
      </w:rPr>
    </w:lvl>
  </w:abstractNum>
  <w:abstractNum w:abstractNumId="38" w15:restartNumberingAfterBreak="0">
    <w:nsid w:val="6A14466B"/>
    <w:multiLevelType w:val="hybridMultilevel"/>
    <w:tmpl w:val="2402A666"/>
    <w:lvl w:ilvl="0" w:tplc="86584F7E">
      <w:start w:val="1"/>
      <w:numFmt w:val="bullet"/>
      <w:pStyle w:val="BulletList1"/>
      <w:lvlText w:val="·"/>
      <w:lvlJc w:val="left"/>
      <w:pPr>
        <w:tabs>
          <w:tab w:val="num" w:pos="360"/>
        </w:tabs>
        <w:ind w:left="360" w:hanging="360"/>
      </w:pPr>
      <w:rPr>
        <w:rFonts w:ascii="Symbol" w:hAnsi="Symbol" w:hint="default"/>
        <w:color w:val="000000"/>
      </w:rPr>
    </w:lvl>
    <w:lvl w:ilvl="1" w:tplc="0DC2232C" w:tentative="1">
      <w:start w:val="1"/>
      <w:numFmt w:val="bullet"/>
      <w:lvlText w:val="·"/>
      <w:lvlJc w:val="left"/>
      <w:pPr>
        <w:tabs>
          <w:tab w:val="num" w:pos="1440"/>
        </w:tabs>
        <w:ind w:left="1440" w:hanging="360"/>
      </w:pPr>
      <w:rPr>
        <w:rFonts w:ascii="Symbol" w:hAnsi="Symbol" w:hint="default"/>
      </w:rPr>
    </w:lvl>
    <w:lvl w:ilvl="2" w:tplc="AA62F3F2" w:tentative="1">
      <w:start w:val="1"/>
      <w:numFmt w:val="bullet"/>
      <w:lvlText w:val="·"/>
      <w:lvlJc w:val="left"/>
      <w:pPr>
        <w:tabs>
          <w:tab w:val="num" w:pos="2160"/>
        </w:tabs>
        <w:ind w:left="2160" w:hanging="360"/>
      </w:pPr>
      <w:rPr>
        <w:rFonts w:ascii="Symbol" w:hAnsi="Symbol" w:hint="default"/>
      </w:rPr>
    </w:lvl>
    <w:lvl w:ilvl="3" w:tplc="3D60EE3C" w:tentative="1">
      <w:start w:val="1"/>
      <w:numFmt w:val="bullet"/>
      <w:lvlText w:val="·"/>
      <w:lvlJc w:val="left"/>
      <w:pPr>
        <w:tabs>
          <w:tab w:val="num" w:pos="2880"/>
        </w:tabs>
        <w:ind w:left="2880" w:hanging="360"/>
      </w:pPr>
      <w:rPr>
        <w:rFonts w:ascii="Symbol" w:hAnsi="Symbol" w:hint="default"/>
      </w:rPr>
    </w:lvl>
    <w:lvl w:ilvl="4" w:tplc="248C723E" w:tentative="1">
      <w:start w:val="1"/>
      <w:numFmt w:val="bullet"/>
      <w:lvlText w:val="o"/>
      <w:lvlJc w:val="left"/>
      <w:pPr>
        <w:tabs>
          <w:tab w:val="num" w:pos="3600"/>
        </w:tabs>
        <w:ind w:left="3600" w:hanging="360"/>
      </w:pPr>
      <w:rPr>
        <w:rFonts w:ascii="Courier New" w:hAnsi="Courier New" w:hint="default"/>
      </w:rPr>
    </w:lvl>
    <w:lvl w:ilvl="5" w:tplc="4FD61EB0" w:tentative="1">
      <w:start w:val="1"/>
      <w:numFmt w:val="bullet"/>
      <w:lvlText w:val="§"/>
      <w:lvlJc w:val="left"/>
      <w:pPr>
        <w:tabs>
          <w:tab w:val="num" w:pos="4320"/>
        </w:tabs>
        <w:ind w:left="4320" w:hanging="360"/>
      </w:pPr>
      <w:rPr>
        <w:rFonts w:ascii="Wingdings" w:hAnsi="Wingdings" w:hint="default"/>
      </w:rPr>
    </w:lvl>
    <w:lvl w:ilvl="6" w:tplc="887A43BE" w:tentative="1">
      <w:start w:val="1"/>
      <w:numFmt w:val="bullet"/>
      <w:lvlText w:val="·"/>
      <w:lvlJc w:val="left"/>
      <w:pPr>
        <w:tabs>
          <w:tab w:val="num" w:pos="5040"/>
        </w:tabs>
        <w:ind w:left="5040" w:hanging="360"/>
      </w:pPr>
      <w:rPr>
        <w:rFonts w:ascii="Symbol" w:hAnsi="Symbol" w:hint="default"/>
      </w:rPr>
    </w:lvl>
    <w:lvl w:ilvl="7" w:tplc="5AD06F3C" w:tentative="1">
      <w:start w:val="1"/>
      <w:numFmt w:val="bullet"/>
      <w:lvlText w:val="o"/>
      <w:lvlJc w:val="left"/>
      <w:pPr>
        <w:tabs>
          <w:tab w:val="num" w:pos="5760"/>
        </w:tabs>
        <w:ind w:left="5760" w:hanging="360"/>
      </w:pPr>
      <w:rPr>
        <w:rFonts w:ascii="Courier New" w:hAnsi="Courier New" w:hint="default"/>
      </w:rPr>
    </w:lvl>
    <w:lvl w:ilvl="8" w:tplc="CB12EF9A" w:tentative="1">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6ADF4683"/>
    <w:multiLevelType w:val="multilevel"/>
    <w:tmpl w:val="DD28FDF4"/>
    <w:lvl w:ilvl="0">
      <w:start w:val="1"/>
      <w:numFmt w:val="none"/>
      <w:pStyle w:val="DefinedTermPara"/>
      <w:lvlText w:val="%1"/>
      <w:lvlJc w:val="left"/>
      <w:pPr>
        <w:tabs>
          <w:tab w:val="num" w:pos="720"/>
        </w:tabs>
        <w:ind w:left="720" w:hanging="720"/>
      </w:pPr>
      <w:rPr>
        <w:rFonts w:hint="default"/>
        <w:color w:val="000000"/>
      </w:rPr>
    </w:lvl>
    <w:lvl w:ilvl="1">
      <w:start w:val="1"/>
      <w:numFmt w:val="lowerLetter"/>
      <w:pStyle w:val="DefinedTermNumber"/>
      <w:lvlText w:val="%1%2)"/>
      <w:lvlJc w:val="left"/>
      <w:pPr>
        <w:tabs>
          <w:tab w:val="num" w:pos="1554"/>
        </w:tabs>
        <w:ind w:left="1554" w:firstLine="0"/>
      </w:pPr>
      <w:rPr>
        <w:rFonts w:hint="default"/>
        <w:color w:val="000000"/>
      </w:rPr>
    </w:lvl>
    <w:lvl w:ilvl="2">
      <w:start w:val="1"/>
      <w:numFmt w:val="none"/>
      <w:lvlText w:val=""/>
      <w:lvlJc w:val="left"/>
      <w:pPr>
        <w:tabs>
          <w:tab w:val="num" w:pos="1555"/>
        </w:tabs>
        <w:ind w:left="1555" w:hanging="561"/>
      </w:pPr>
      <w:rPr>
        <w:rFonts w:hint="default"/>
      </w:rPr>
    </w:lvl>
    <w:lvl w:ilvl="3">
      <w:start w:val="1"/>
      <w:numFmt w:val="lowerRoman"/>
      <w:lvlText w:val="(%4)"/>
      <w:lvlJc w:val="left"/>
      <w:pPr>
        <w:tabs>
          <w:tab w:val="num" w:pos="2419"/>
        </w:tabs>
        <w:ind w:left="2275" w:hanging="576"/>
      </w:pPr>
      <w:rPr>
        <w:rFonts w:hint="default"/>
        <w:sz w:val="20"/>
      </w:rPr>
    </w:lvl>
    <w:lvl w:ilvl="4">
      <w:start w:val="1"/>
      <w:numFmt w:val="upperLetter"/>
      <w:lvlText w:val="(%5)"/>
      <w:lvlJc w:val="left"/>
      <w:pPr>
        <w:tabs>
          <w:tab w:val="num" w:pos="2880"/>
        </w:tabs>
        <w:ind w:left="2880" w:hanging="72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0" w15:restartNumberingAfterBreak="0">
    <w:nsid w:val="771777AD"/>
    <w:multiLevelType w:val="multilevel"/>
    <w:tmpl w:val="019C28B4"/>
    <w:lvl w:ilvl="0">
      <w:start w:val="1"/>
      <w:numFmt w:val="decimal"/>
      <w:pStyle w:val="Parties"/>
      <w:lvlText w:val="(%1)"/>
      <w:lvlJc w:val="left"/>
      <w:pPr>
        <w:tabs>
          <w:tab w:val="num" w:pos="720"/>
        </w:tabs>
        <w:ind w:left="720" w:hanging="720"/>
      </w:pPr>
      <w:rPr>
        <w:color w:val="000000"/>
      </w:r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1" w15:restartNumberingAfterBreak="0">
    <w:nsid w:val="77D61255"/>
    <w:multiLevelType w:val="multilevel"/>
    <w:tmpl w:val="A468D63A"/>
    <w:lvl w:ilvl="0">
      <w:start w:val="1"/>
      <w:numFmt w:val="decimal"/>
      <w:lvlText w:val="%1."/>
      <w:lvlJc w:val="left"/>
      <w:pPr>
        <w:tabs>
          <w:tab w:val="num" w:pos="720"/>
        </w:tabs>
        <w:ind w:left="720" w:hanging="720"/>
      </w:pPr>
      <w:rPr>
        <w:b/>
        <w:i w:val="0"/>
        <w:caps/>
        <w:color w:val="000000"/>
        <w:sz w:val="20"/>
      </w:rPr>
    </w:lvl>
    <w:lvl w:ilvl="1">
      <w:start w:val="1"/>
      <w:numFmt w:val="decimal"/>
      <w:lvlText w:val="%1.%2"/>
      <w:lvlJc w:val="left"/>
      <w:pPr>
        <w:tabs>
          <w:tab w:val="num" w:pos="720"/>
        </w:tabs>
        <w:ind w:left="720" w:hanging="720"/>
      </w:pPr>
      <w:rPr>
        <w:b w:val="0"/>
        <w:i w:val="0"/>
        <w:caps w:val="0"/>
        <w:sz w:val="20"/>
      </w:rPr>
    </w:lvl>
    <w:lvl w:ilvl="2">
      <w:start w:val="1"/>
      <w:numFmt w:val="lowerLetter"/>
      <w:lvlText w:val="(%3)"/>
      <w:lvlJc w:val="left"/>
      <w:pPr>
        <w:tabs>
          <w:tab w:val="num" w:pos="1559"/>
        </w:tabs>
        <w:ind w:left="1559" w:hanging="567"/>
      </w:pPr>
      <w:rPr>
        <w:b w:val="0"/>
        <w:i w:val="0"/>
        <w:sz w:val="20"/>
      </w:rPr>
    </w:lvl>
    <w:lvl w:ilvl="3">
      <w:start w:val="1"/>
      <w:numFmt w:val="lowerRoman"/>
      <w:lvlText w:val="(%4)"/>
      <w:lvlJc w:val="left"/>
      <w:pPr>
        <w:tabs>
          <w:tab w:val="num" w:pos="2421"/>
        </w:tabs>
        <w:ind w:left="2268" w:hanging="567"/>
      </w:pPr>
      <w:rPr>
        <w:b w:val="0"/>
        <w:i w:val="0"/>
        <w:sz w:val="20"/>
      </w:rPr>
    </w:lvl>
    <w:lvl w:ilvl="4">
      <w:start w:val="1"/>
      <w:numFmt w:val="upperLetter"/>
      <w:lvlText w:val="(%5)"/>
      <w:lvlJc w:val="left"/>
      <w:pPr>
        <w:tabs>
          <w:tab w:val="num" w:pos="2880"/>
        </w:tabs>
        <w:ind w:left="2880" w:hanging="720"/>
      </w:pPr>
      <w:rPr>
        <w:b w:val="0"/>
        <w:i w:val="0"/>
        <w:sz w:val="22"/>
      </w:rPr>
    </w:lvl>
    <w:lvl w:ilvl="5">
      <w:start w:val="1"/>
      <w:numFmt w:val="decimal"/>
      <w:lvlText w:val="%6."/>
      <w:lvlJc w:val="left"/>
      <w:pPr>
        <w:tabs>
          <w:tab w:val="num" w:pos="3600"/>
        </w:tabs>
        <w:ind w:left="3600" w:hanging="720"/>
      </w:pPr>
      <w:rPr>
        <w:b w:val="0"/>
        <w:i w:val="0"/>
        <w:sz w:val="22"/>
      </w:rPr>
    </w:lvl>
    <w:lvl w:ilvl="6">
      <w:start w:val="1"/>
      <w:numFmt w:val="decimal"/>
      <w:lvlText w:val="%7."/>
      <w:lvlJc w:val="left"/>
      <w:pPr>
        <w:tabs>
          <w:tab w:val="num" w:pos="4320"/>
        </w:tabs>
        <w:ind w:left="4320" w:hanging="720"/>
      </w:pPr>
      <w:rPr>
        <w:rFonts w:hint="default"/>
      </w:rPr>
    </w:lvl>
    <w:lvl w:ilvl="7">
      <w:start w:val="1"/>
      <w:numFmt w:val="decimal"/>
      <w:lvlText w:val="%8."/>
      <w:lvlJc w:val="left"/>
      <w:pPr>
        <w:tabs>
          <w:tab w:val="num" w:pos="5040"/>
        </w:tabs>
        <w:ind w:left="5040" w:hanging="720"/>
      </w:pPr>
      <w:rPr>
        <w:b w:val="0"/>
        <w:i w:val="0"/>
        <w:sz w:val="22"/>
      </w:rPr>
    </w:lvl>
    <w:lvl w:ilvl="8">
      <w:start w:val="1"/>
      <w:numFmt w:val="decimal"/>
      <w:lvlText w:val="%9."/>
      <w:lvlJc w:val="left"/>
      <w:pPr>
        <w:tabs>
          <w:tab w:val="num" w:pos="5760"/>
        </w:tabs>
        <w:ind w:left="5760" w:hanging="720"/>
      </w:pPr>
      <w:rPr>
        <w:b w:val="0"/>
        <w:i w:val="0"/>
        <w:sz w:val="22"/>
      </w:rPr>
    </w:lvl>
  </w:abstractNum>
  <w:abstractNum w:abstractNumId="42" w15:restartNumberingAfterBreak="0">
    <w:nsid w:val="78C31C79"/>
    <w:multiLevelType w:val="hybridMultilevel"/>
    <w:tmpl w:val="0BBA56BC"/>
    <w:lvl w:ilvl="0" w:tplc="4014B7F4">
      <w:start w:val="1"/>
      <w:numFmt w:val="decimal"/>
      <w:lvlText w:val="%1."/>
      <w:lvlJc w:val="left"/>
      <w:pPr>
        <w:ind w:left="1440" w:hanging="360"/>
      </w:pPr>
      <w:rPr>
        <w:color w:val="000000"/>
      </w:rPr>
    </w:lvl>
    <w:lvl w:ilvl="1" w:tplc="7D1C13F6" w:tentative="1">
      <w:start w:val="1"/>
      <w:numFmt w:val="lowerLetter"/>
      <w:lvlText w:val="%2."/>
      <w:lvlJc w:val="left"/>
      <w:pPr>
        <w:ind w:left="2160" w:hanging="360"/>
      </w:pPr>
    </w:lvl>
    <w:lvl w:ilvl="2" w:tplc="05EC78B8" w:tentative="1">
      <w:start w:val="1"/>
      <w:numFmt w:val="lowerRoman"/>
      <w:lvlText w:val="%3."/>
      <w:lvlJc w:val="right"/>
      <w:pPr>
        <w:ind w:left="2880" w:hanging="180"/>
      </w:pPr>
    </w:lvl>
    <w:lvl w:ilvl="3" w:tplc="85E05B86" w:tentative="1">
      <w:start w:val="1"/>
      <w:numFmt w:val="decimal"/>
      <w:lvlText w:val="%4."/>
      <w:lvlJc w:val="left"/>
      <w:pPr>
        <w:ind w:left="3600" w:hanging="360"/>
      </w:pPr>
    </w:lvl>
    <w:lvl w:ilvl="4" w:tplc="965A7492" w:tentative="1">
      <w:start w:val="1"/>
      <w:numFmt w:val="lowerLetter"/>
      <w:lvlText w:val="%5."/>
      <w:lvlJc w:val="left"/>
      <w:pPr>
        <w:ind w:left="4320" w:hanging="360"/>
      </w:pPr>
    </w:lvl>
    <w:lvl w:ilvl="5" w:tplc="70922912" w:tentative="1">
      <w:start w:val="1"/>
      <w:numFmt w:val="lowerRoman"/>
      <w:lvlText w:val="%6."/>
      <w:lvlJc w:val="right"/>
      <w:pPr>
        <w:ind w:left="5040" w:hanging="180"/>
      </w:pPr>
    </w:lvl>
    <w:lvl w:ilvl="6" w:tplc="E6CA6ECE" w:tentative="1">
      <w:start w:val="1"/>
      <w:numFmt w:val="decimal"/>
      <w:lvlText w:val="%7."/>
      <w:lvlJc w:val="left"/>
      <w:pPr>
        <w:ind w:left="5760" w:hanging="360"/>
      </w:pPr>
    </w:lvl>
    <w:lvl w:ilvl="7" w:tplc="5FAEFE0A" w:tentative="1">
      <w:start w:val="1"/>
      <w:numFmt w:val="lowerLetter"/>
      <w:lvlText w:val="%8."/>
      <w:lvlJc w:val="left"/>
      <w:pPr>
        <w:ind w:left="6480" w:hanging="360"/>
      </w:pPr>
    </w:lvl>
    <w:lvl w:ilvl="8" w:tplc="51E2C19E" w:tentative="1">
      <w:start w:val="1"/>
      <w:numFmt w:val="lowerRoman"/>
      <w:lvlText w:val="%9."/>
      <w:lvlJc w:val="right"/>
      <w:pPr>
        <w:ind w:left="7200" w:hanging="180"/>
      </w:pPr>
    </w:lvl>
  </w:abstractNum>
  <w:abstractNum w:abstractNumId="43" w15:restartNumberingAfterBreak="0">
    <w:nsid w:val="7DB5644F"/>
    <w:multiLevelType w:val="hybridMultilevel"/>
    <w:tmpl w:val="8BCC9C08"/>
    <w:lvl w:ilvl="0" w:tplc="311442CC">
      <w:start w:val="1"/>
      <w:numFmt w:val="bullet"/>
      <w:pStyle w:val="BulletList3"/>
      <w:lvlText w:val=""/>
      <w:lvlJc w:val="left"/>
      <w:pPr>
        <w:tabs>
          <w:tab w:val="num" w:pos="1945"/>
        </w:tabs>
        <w:ind w:left="1945" w:hanging="357"/>
      </w:pPr>
      <w:rPr>
        <w:rFonts w:ascii="Symbol" w:hAnsi="Symbol" w:hint="default"/>
        <w:color w:val="000000"/>
      </w:rPr>
    </w:lvl>
    <w:lvl w:ilvl="1" w:tplc="00CE5B9E" w:tentative="1">
      <w:start w:val="1"/>
      <w:numFmt w:val="bullet"/>
      <w:lvlText w:val="o"/>
      <w:lvlJc w:val="left"/>
      <w:pPr>
        <w:tabs>
          <w:tab w:val="num" w:pos="1440"/>
        </w:tabs>
        <w:ind w:left="1440" w:hanging="360"/>
      </w:pPr>
      <w:rPr>
        <w:rFonts w:ascii="Courier New" w:hAnsi="Courier New" w:cs="Courier New" w:hint="default"/>
      </w:rPr>
    </w:lvl>
    <w:lvl w:ilvl="2" w:tplc="3D2C2560" w:tentative="1">
      <w:start w:val="1"/>
      <w:numFmt w:val="bullet"/>
      <w:lvlText w:val=""/>
      <w:lvlJc w:val="left"/>
      <w:pPr>
        <w:tabs>
          <w:tab w:val="num" w:pos="2160"/>
        </w:tabs>
        <w:ind w:left="2160" w:hanging="360"/>
      </w:pPr>
      <w:rPr>
        <w:rFonts w:ascii="Wingdings" w:hAnsi="Wingdings" w:hint="default"/>
      </w:rPr>
    </w:lvl>
    <w:lvl w:ilvl="3" w:tplc="520C16D2" w:tentative="1">
      <w:start w:val="1"/>
      <w:numFmt w:val="bullet"/>
      <w:lvlText w:val=""/>
      <w:lvlJc w:val="left"/>
      <w:pPr>
        <w:tabs>
          <w:tab w:val="num" w:pos="2880"/>
        </w:tabs>
        <w:ind w:left="2880" w:hanging="360"/>
      </w:pPr>
      <w:rPr>
        <w:rFonts w:ascii="Symbol" w:hAnsi="Symbol" w:hint="default"/>
      </w:rPr>
    </w:lvl>
    <w:lvl w:ilvl="4" w:tplc="E68E8122" w:tentative="1">
      <w:start w:val="1"/>
      <w:numFmt w:val="bullet"/>
      <w:lvlText w:val="o"/>
      <w:lvlJc w:val="left"/>
      <w:pPr>
        <w:tabs>
          <w:tab w:val="num" w:pos="3600"/>
        </w:tabs>
        <w:ind w:left="3600" w:hanging="360"/>
      </w:pPr>
      <w:rPr>
        <w:rFonts w:ascii="Courier New" w:hAnsi="Courier New" w:cs="Courier New" w:hint="default"/>
      </w:rPr>
    </w:lvl>
    <w:lvl w:ilvl="5" w:tplc="69A45472" w:tentative="1">
      <w:start w:val="1"/>
      <w:numFmt w:val="bullet"/>
      <w:lvlText w:val=""/>
      <w:lvlJc w:val="left"/>
      <w:pPr>
        <w:tabs>
          <w:tab w:val="num" w:pos="4320"/>
        </w:tabs>
        <w:ind w:left="4320" w:hanging="360"/>
      </w:pPr>
      <w:rPr>
        <w:rFonts w:ascii="Wingdings" w:hAnsi="Wingdings" w:hint="default"/>
      </w:rPr>
    </w:lvl>
    <w:lvl w:ilvl="6" w:tplc="14A09078" w:tentative="1">
      <w:start w:val="1"/>
      <w:numFmt w:val="bullet"/>
      <w:lvlText w:val=""/>
      <w:lvlJc w:val="left"/>
      <w:pPr>
        <w:tabs>
          <w:tab w:val="num" w:pos="5040"/>
        </w:tabs>
        <w:ind w:left="5040" w:hanging="360"/>
      </w:pPr>
      <w:rPr>
        <w:rFonts w:ascii="Symbol" w:hAnsi="Symbol" w:hint="default"/>
      </w:rPr>
    </w:lvl>
    <w:lvl w:ilvl="7" w:tplc="D4009356" w:tentative="1">
      <w:start w:val="1"/>
      <w:numFmt w:val="bullet"/>
      <w:lvlText w:val="o"/>
      <w:lvlJc w:val="left"/>
      <w:pPr>
        <w:tabs>
          <w:tab w:val="num" w:pos="5760"/>
        </w:tabs>
        <w:ind w:left="5760" w:hanging="360"/>
      </w:pPr>
      <w:rPr>
        <w:rFonts w:ascii="Courier New" w:hAnsi="Courier New" w:cs="Courier New" w:hint="default"/>
      </w:rPr>
    </w:lvl>
    <w:lvl w:ilvl="8" w:tplc="DFD48600" w:tentative="1">
      <w:start w:val="1"/>
      <w:numFmt w:val="bullet"/>
      <w:lvlText w:val=""/>
      <w:lvlJc w:val="left"/>
      <w:pPr>
        <w:tabs>
          <w:tab w:val="num" w:pos="6480"/>
        </w:tabs>
        <w:ind w:left="6480" w:hanging="360"/>
      </w:pPr>
      <w:rPr>
        <w:rFonts w:ascii="Wingdings" w:hAnsi="Wingdings" w:hint="default"/>
      </w:rPr>
    </w:lvl>
  </w:abstractNum>
  <w:num w:numId="1" w16cid:durableId="872495619">
    <w:abstractNumId w:val="37"/>
  </w:num>
  <w:num w:numId="2" w16cid:durableId="221529223">
    <w:abstractNumId w:val="38"/>
  </w:num>
  <w:num w:numId="3" w16cid:durableId="1953390059">
    <w:abstractNumId w:val="23"/>
  </w:num>
  <w:num w:numId="4" w16cid:durableId="1736011009">
    <w:abstractNumId w:val="43"/>
  </w:num>
  <w:num w:numId="5" w16cid:durableId="1195267243">
    <w:abstractNumId w:val="40"/>
  </w:num>
  <w:num w:numId="6" w16cid:durableId="1089698431">
    <w:abstractNumId w:val="17"/>
  </w:num>
  <w:num w:numId="7" w16cid:durableId="1832677960">
    <w:abstractNumId w:val="25"/>
  </w:num>
  <w:num w:numId="8" w16cid:durableId="632366051">
    <w:abstractNumId w:val="24"/>
  </w:num>
  <w:num w:numId="9" w16cid:durableId="1128625795">
    <w:abstractNumId w:val="21"/>
  </w:num>
  <w:num w:numId="10" w16cid:durableId="200366102">
    <w:abstractNumId w:val="33"/>
  </w:num>
  <w:num w:numId="11" w16cid:durableId="671683">
    <w:abstractNumId w:val="20"/>
  </w:num>
  <w:num w:numId="12" w16cid:durableId="115371595">
    <w:abstractNumId w:val="32"/>
  </w:num>
  <w:num w:numId="13" w16cid:durableId="446970894">
    <w:abstractNumId w:val="35"/>
  </w:num>
  <w:num w:numId="14" w16cid:durableId="250742156">
    <w:abstractNumId w:val="26"/>
  </w:num>
  <w:num w:numId="15" w16cid:durableId="855465746">
    <w:abstractNumId w:val="31"/>
  </w:num>
  <w:num w:numId="16" w16cid:durableId="1040515194">
    <w:abstractNumId w:val="29"/>
  </w:num>
  <w:num w:numId="17" w16cid:durableId="903837565">
    <w:abstractNumId w:val="30"/>
  </w:num>
  <w:num w:numId="18" w16cid:durableId="781144352">
    <w:abstractNumId w:val="28"/>
  </w:num>
  <w:num w:numId="19" w16cid:durableId="1889147063">
    <w:abstractNumId w:val="22"/>
  </w:num>
  <w:num w:numId="20" w16cid:durableId="385379186">
    <w:abstractNumId w:val="36"/>
  </w:num>
  <w:num w:numId="21" w16cid:durableId="1797329815">
    <w:abstractNumId w:val="11"/>
  </w:num>
  <w:num w:numId="22" w16cid:durableId="1157383100">
    <w:abstractNumId w:val="14"/>
  </w:num>
  <w:num w:numId="23" w16cid:durableId="1310162787">
    <w:abstractNumId w:val="39"/>
  </w:num>
  <w:num w:numId="24" w16cid:durableId="161822375">
    <w:abstractNumId w:val="10"/>
  </w:num>
  <w:num w:numId="25" w16cid:durableId="579797139">
    <w:abstractNumId w:val="16"/>
  </w:num>
  <w:num w:numId="26" w16cid:durableId="1121728469">
    <w:abstractNumId w:val="41"/>
  </w:num>
  <w:num w:numId="27" w16cid:durableId="2034762334">
    <w:abstractNumId w:val="15"/>
  </w:num>
  <w:num w:numId="28" w16cid:durableId="1963227117">
    <w:abstractNumId w:val="19"/>
  </w:num>
  <w:num w:numId="29" w16cid:durableId="191656504">
    <w:abstractNumId w:val="34"/>
  </w:num>
  <w:num w:numId="30" w16cid:durableId="786660777">
    <w:abstractNumId w:val="9"/>
  </w:num>
  <w:num w:numId="31" w16cid:durableId="1948613686">
    <w:abstractNumId w:val="7"/>
  </w:num>
  <w:num w:numId="32" w16cid:durableId="2049866952">
    <w:abstractNumId w:val="6"/>
  </w:num>
  <w:num w:numId="33" w16cid:durableId="1845509047">
    <w:abstractNumId w:val="5"/>
  </w:num>
  <w:num w:numId="34" w16cid:durableId="204416353">
    <w:abstractNumId w:val="4"/>
  </w:num>
  <w:num w:numId="35" w16cid:durableId="579295452">
    <w:abstractNumId w:val="8"/>
  </w:num>
  <w:num w:numId="36" w16cid:durableId="693385263">
    <w:abstractNumId w:val="3"/>
  </w:num>
  <w:num w:numId="37" w16cid:durableId="947464228">
    <w:abstractNumId w:val="2"/>
  </w:num>
  <w:num w:numId="38" w16cid:durableId="1340812026">
    <w:abstractNumId w:val="1"/>
  </w:num>
  <w:num w:numId="39" w16cid:durableId="975837705">
    <w:abstractNumId w:val="0"/>
  </w:num>
  <w:num w:numId="40" w16cid:durableId="1414157450">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2112311609">
    <w:abstractNumId w:val="13"/>
  </w:num>
  <w:num w:numId="42" w16cid:durableId="1163549542">
    <w:abstractNumId w:val="10"/>
  </w:num>
  <w:num w:numId="43" w16cid:durableId="220413174">
    <w:abstractNumId w:val="42"/>
  </w:num>
  <w:num w:numId="44" w16cid:durableId="918171108">
    <w:abstractNumId w:val="12"/>
  </w:num>
  <w:num w:numId="45" w16cid:durableId="827861365">
    <w:abstractNumId w:val="18"/>
  </w:num>
  <w:num w:numId="46" w16cid:durableId="1036082279">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linkStyles/>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ocPartsVariable" w:val="&lt;docParts&gt;_x000d__x000a_  &lt;Precedent&gt;agreement&lt;/Precedent&gt;_x000d__x000a_  &lt;Operative&gt;Clause&lt;/Operative&gt;_x000d__x000a_  &lt;TemplateType&gt;null&lt;/TemplateType&gt;_x000d__x000a_  &lt;SignaturePageBreakType&gt;Yes without message&lt;/SignaturePageBreakType&gt;_x000d__x000a_&lt;/docParts&gt;"/>
    <w:docVar w:name="gentXMLPartID" w:val="{7D268DDC-65F2-46AD-BABC-FEF9A4333E15}"/>
  </w:docVars>
  <w:rsids>
    <w:rsidRoot w:val="00072310"/>
    <w:rsid w:val="000478AF"/>
    <w:rsid w:val="00062B08"/>
    <w:rsid w:val="00064521"/>
    <w:rsid w:val="00072310"/>
    <w:rsid w:val="000821F6"/>
    <w:rsid w:val="000F6D2F"/>
    <w:rsid w:val="000F7811"/>
    <w:rsid w:val="0012300A"/>
    <w:rsid w:val="00150268"/>
    <w:rsid w:val="00153F99"/>
    <w:rsid w:val="001665EB"/>
    <w:rsid w:val="001F21EE"/>
    <w:rsid w:val="00206BBE"/>
    <w:rsid w:val="0022448B"/>
    <w:rsid w:val="002247F7"/>
    <w:rsid w:val="002D41B2"/>
    <w:rsid w:val="002E7896"/>
    <w:rsid w:val="002F6A1A"/>
    <w:rsid w:val="00306EBE"/>
    <w:rsid w:val="00350B89"/>
    <w:rsid w:val="003C6C18"/>
    <w:rsid w:val="00512F0D"/>
    <w:rsid w:val="0051449F"/>
    <w:rsid w:val="00574A07"/>
    <w:rsid w:val="005C5370"/>
    <w:rsid w:val="005F416F"/>
    <w:rsid w:val="006029B7"/>
    <w:rsid w:val="00611ECB"/>
    <w:rsid w:val="006442A8"/>
    <w:rsid w:val="00661F53"/>
    <w:rsid w:val="0069407C"/>
    <w:rsid w:val="006976EA"/>
    <w:rsid w:val="006B2694"/>
    <w:rsid w:val="00741176"/>
    <w:rsid w:val="00743EA8"/>
    <w:rsid w:val="007672C0"/>
    <w:rsid w:val="007719E2"/>
    <w:rsid w:val="00786438"/>
    <w:rsid w:val="0080370F"/>
    <w:rsid w:val="00811D63"/>
    <w:rsid w:val="008A597A"/>
    <w:rsid w:val="008D44D5"/>
    <w:rsid w:val="0093663A"/>
    <w:rsid w:val="009606BC"/>
    <w:rsid w:val="009707E1"/>
    <w:rsid w:val="00980776"/>
    <w:rsid w:val="00985F07"/>
    <w:rsid w:val="00990EED"/>
    <w:rsid w:val="009A53C5"/>
    <w:rsid w:val="009B35EB"/>
    <w:rsid w:val="009B7374"/>
    <w:rsid w:val="009C2CA4"/>
    <w:rsid w:val="009E5B85"/>
    <w:rsid w:val="009F6B85"/>
    <w:rsid w:val="00A12780"/>
    <w:rsid w:val="00A740D0"/>
    <w:rsid w:val="00A76AA9"/>
    <w:rsid w:val="00AF045C"/>
    <w:rsid w:val="00AF2EDF"/>
    <w:rsid w:val="00B159A7"/>
    <w:rsid w:val="00B16B42"/>
    <w:rsid w:val="00B22E13"/>
    <w:rsid w:val="00B85B69"/>
    <w:rsid w:val="00B86239"/>
    <w:rsid w:val="00BD1261"/>
    <w:rsid w:val="00BE1E5D"/>
    <w:rsid w:val="00C00608"/>
    <w:rsid w:val="00C73C1A"/>
    <w:rsid w:val="00C954F6"/>
    <w:rsid w:val="00CD47B2"/>
    <w:rsid w:val="00D43261"/>
    <w:rsid w:val="00E25AD2"/>
    <w:rsid w:val="00E41299"/>
    <w:rsid w:val="00E506E6"/>
    <w:rsid w:val="00F231B6"/>
    <w:rsid w:val="00F24DCA"/>
    <w:rsid w:val="00F51378"/>
    <w:rsid w:val="00F63079"/>
    <w:rsid w:val="00F80EE3"/>
    <w:rsid w:val="00FB06F1"/>
    <w:rsid w:val="00FC5706"/>
  </w:rsids>
  <m:mathPr>
    <m:mathFont m:val="Cambria Math"/>
    <m:brkBin m:val="before"/>
    <m:brkBinSub m:val="--"/>
    <m:smallFrac m:val="0"/>
    <m:dispDef/>
    <m:lMargin m:val="0"/>
    <m:rMargin m:val="0"/>
    <m:defJc m:val="centerGroup"/>
    <m:wrapIndent m:val="1440"/>
    <m:intLim m:val="subSup"/>
    <m:naryLim m:val="undOvr"/>
  </m:mathPr>
  <w:themeFontLang w:val="en-GB" w:bidi="hi-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B98BE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200" w:line="24"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0821F6"/>
    <w:pPr>
      <w:spacing w:after="160" w:line="278" w:lineRule="auto"/>
    </w:pPr>
    <w:rPr>
      <w:rFonts w:eastAsiaTheme="minorHAnsi"/>
      <w:kern w:val="2"/>
      <w:sz w:val="24"/>
      <w:szCs w:val="24"/>
      <w:lang w:eastAsia="en-US"/>
      <w14:ligatures w14:val="standardContextual"/>
    </w:rPr>
  </w:style>
  <w:style w:type="paragraph" w:styleId="Heading1">
    <w:name w:val="heading 1"/>
    <w:basedOn w:val="Normal"/>
    <w:next w:val="Normal"/>
    <w:link w:val="Heading1Char"/>
    <w:uiPriority w:val="9"/>
    <w:qFormat/>
    <w:rsid w:val="006F749D"/>
    <w:pPr>
      <w:keepNext/>
      <w:keepLines/>
      <w:numPr>
        <w:numId w:val="10"/>
      </w:numPr>
      <w:spacing w:before="480" w:after="0"/>
      <w:outlineLvl w:val="0"/>
    </w:pPr>
    <w:rPr>
      <w:rFonts w:asciiTheme="majorHAnsi" w:eastAsiaTheme="majorEastAsia" w:hAnsiTheme="majorHAnsi" w:cstheme="majorBidi"/>
      <w:b/>
      <w:bCs/>
      <w:color w:val="000000"/>
      <w:sz w:val="28"/>
      <w:szCs w:val="28"/>
    </w:rPr>
  </w:style>
  <w:style w:type="paragraph" w:styleId="Heading2">
    <w:name w:val="heading 2"/>
    <w:basedOn w:val="Normal"/>
    <w:next w:val="Normal"/>
    <w:link w:val="Heading2Char"/>
    <w:uiPriority w:val="9"/>
    <w:semiHidden/>
    <w:unhideWhenUsed/>
    <w:qFormat/>
    <w:rsid w:val="006F749D"/>
    <w:pPr>
      <w:keepNext/>
      <w:keepLines/>
      <w:numPr>
        <w:ilvl w:val="1"/>
        <w:numId w:val="10"/>
      </w:numPr>
      <w:spacing w:before="200" w:after="0"/>
      <w:outlineLvl w:val="1"/>
    </w:pPr>
    <w:rPr>
      <w:rFonts w:asciiTheme="majorHAnsi" w:eastAsiaTheme="majorEastAsia" w:hAnsiTheme="majorHAnsi" w:cstheme="majorBidi"/>
      <w:b/>
      <w:bCs/>
      <w:color w:val="000000"/>
      <w:sz w:val="26"/>
      <w:szCs w:val="26"/>
    </w:rPr>
  </w:style>
  <w:style w:type="paragraph" w:styleId="Heading3">
    <w:name w:val="heading 3"/>
    <w:basedOn w:val="Normal"/>
    <w:next w:val="Normal"/>
    <w:link w:val="Heading3Char"/>
    <w:uiPriority w:val="9"/>
    <w:semiHidden/>
    <w:unhideWhenUsed/>
    <w:qFormat/>
    <w:rsid w:val="006F749D"/>
    <w:pPr>
      <w:keepNext/>
      <w:keepLines/>
      <w:numPr>
        <w:ilvl w:val="2"/>
        <w:numId w:val="10"/>
      </w:numPr>
      <w:spacing w:before="200" w:after="0"/>
      <w:outlineLvl w:val="2"/>
    </w:pPr>
    <w:rPr>
      <w:rFonts w:asciiTheme="majorHAnsi" w:eastAsiaTheme="majorEastAsia" w:hAnsiTheme="majorHAnsi" w:cstheme="majorBidi"/>
      <w:b/>
      <w:bCs/>
      <w:color w:val="000000"/>
    </w:rPr>
  </w:style>
  <w:style w:type="paragraph" w:styleId="Heading4">
    <w:name w:val="heading 4"/>
    <w:basedOn w:val="Normal"/>
    <w:next w:val="Normal"/>
    <w:link w:val="Heading4Char"/>
    <w:uiPriority w:val="9"/>
    <w:semiHidden/>
    <w:unhideWhenUsed/>
    <w:qFormat/>
    <w:rsid w:val="006F749D"/>
    <w:pPr>
      <w:keepNext/>
      <w:keepLines/>
      <w:numPr>
        <w:ilvl w:val="3"/>
        <w:numId w:val="10"/>
      </w:numPr>
      <w:spacing w:before="200" w:after="0"/>
      <w:outlineLvl w:val="3"/>
    </w:pPr>
    <w:rPr>
      <w:rFonts w:asciiTheme="majorHAnsi" w:eastAsiaTheme="majorEastAsia" w:hAnsiTheme="majorHAnsi" w:cstheme="majorBidi"/>
      <w:b/>
      <w:bCs/>
      <w:i/>
      <w:iCs/>
      <w:color w:val="000000"/>
    </w:rPr>
  </w:style>
  <w:style w:type="paragraph" w:styleId="Heading5">
    <w:name w:val="heading 5"/>
    <w:basedOn w:val="Normal"/>
    <w:next w:val="Normal"/>
    <w:link w:val="Heading5Char"/>
    <w:uiPriority w:val="9"/>
    <w:semiHidden/>
    <w:unhideWhenUsed/>
    <w:qFormat/>
    <w:rsid w:val="006F749D"/>
    <w:pPr>
      <w:keepNext/>
      <w:keepLines/>
      <w:numPr>
        <w:ilvl w:val="4"/>
        <w:numId w:val="10"/>
      </w:numPr>
      <w:spacing w:before="200" w:after="0"/>
      <w:outlineLvl w:val="4"/>
    </w:pPr>
    <w:rPr>
      <w:rFonts w:asciiTheme="majorHAnsi" w:eastAsiaTheme="majorEastAsia" w:hAnsiTheme="majorHAnsi" w:cstheme="majorBidi"/>
      <w:color w:val="000000"/>
    </w:rPr>
  </w:style>
  <w:style w:type="paragraph" w:styleId="Heading6">
    <w:name w:val="heading 6"/>
    <w:basedOn w:val="Normal"/>
    <w:next w:val="Normal"/>
    <w:link w:val="Heading6Char"/>
    <w:uiPriority w:val="9"/>
    <w:semiHidden/>
    <w:unhideWhenUsed/>
    <w:qFormat/>
    <w:rsid w:val="006F749D"/>
    <w:pPr>
      <w:keepNext/>
      <w:keepLines/>
      <w:numPr>
        <w:ilvl w:val="5"/>
        <w:numId w:val="10"/>
      </w:numPr>
      <w:spacing w:before="200" w:after="0"/>
      <w:outlineLvl w:val="5"/>
    </w:pPr>
    <w:rPr>
      <w:rFonts w:asciiTheme="majorHAnsi" w:eastAsiaTheme="majorEastAsia" w:hAnsiTheme="majorHAnsi" w:cstheme="majorBidi"/>
      <w:i/>
      <w:iCs/>
      <w:color w:val="000000"/>
    </w:rPr>
  </w:style>
  <w:style w:type="paragraph" w:styleId="Heading7">
    <w:name w:val="heading 7"/>
    <w:basedOn w:val="Normal"/>
    <w:next w:val="Normal"/>
    <w:link w:val="Heading7Char"/>
    <w:uiPriority w:val="9"/>
    <w:semiHidden/>
    <w:unhideWhenUsed/>
    <w:qFormat/>
    <w:rsid w:val="006F749D"/>
    <w:pPr>
      <w:keepNext/>
      <w:keepLines/>
      <w:numPr>
        <w:ilvl w:val="6"/>
        <w:numId w:val="10"/>
      </w:numPr>
      <w:spacing w:before="200" w:after="0"/>
      <w:outlineLvl w:val="6"/>
    </w:pPr>
    <w:rPr>
      <w:rFonts w:asciiTheme="majorHAnsi" w:eastAsiaTheme="majorEastAsia" w:hAnsiTheme="majorHAnsi" w:cstheme="majorBidi"/>
      <w:i/>
      <w:iCs/>
      <w:color w:val="000000"/>
    </w:rPr>
  </w:style>
  <w:style w:type="paragraph" w:styleId="Heading8">
    <w:name w:val="heading 8"/>
    <w:basedOn w:val="Normal"/>
    <w:next w:val="Normal"/>
    <w:link w:val="Heading8Char"/>
    <w:uiPriority w:val="9"/>
    <w:semiHidden/>
    <w:unhideWhenUsed/>
    <w:qFormat/>
    <w:rsid w:val="006F749D"/>
    <w:pPr>
      <w:keepNext/>
      <w:keepLines/>
      <w:numPr>
        <w:ilvl w:val="7"/>
        <w:numId w:val="10"/>
      </w:numPr>
      <w:spacing w:before="200" w:after="0"/>
      <w:outlineLvl w:val="7"/>
    </w:pPr>
    <w:rPr>
      <w:rFonts w:asciiTheme="majorHAnsi" w:eastAsiaTheme="majorEastAsia" w:hAnsiTheme="majorHAnsi" w:cstheme="majorBidi"/>
      <w:color w:val="000000"/>
      <w:sz w:val="20"/>
      <w:szCs w:val="20"/>
    </w:rPr>
  </w:style>
  <w:style w:type="paragraph" w:styleId="Heading9">
    <w:name w:val="heading 9"/>
    <w:basedOn w:val="Normal"/>
    <w:next w:val="Normal"/>
    <w:link w:val="Heading9Char"/>
    <w:uiPriority w:val="9"/>
    <w:semiHidden/>
    <w:unhideWhenUsed/>
    <w:qFormat/>
    <w:rsid w:val="006F749D"/>
    <w:pPr>
      <w:keepNext/>
      <w:keepLines/>
      <w:numPr>
        <w:ilvl w:val="8"/>
        <w:numId w:val="10"/>
      </w:numPr>
      <w:spacing w:before="200" w:after="0"/>
      <w:outlineLvl w:val="8"/>
    </w:pPr>
    <w:rPr>
      <w:rFonts w:asciiTheme="majorHAnsi" w:eastAsiaTheme="majorEastAsia" w:hAnsiTheme="majorHAnsi" w:cstheme="majorBidi"/>
      <w:i/>
      <w:iCs/>
      <w:color w:val="000000"/>
      <w:sz w:val="20"/>
      <w:szCs w:val="20"/>
    </w:rPr>
  </w:style>
  <w:style w:type="character" w:default="1" w:styleId="DefaultParagraphFont">
    <w:name w:val="Default Paragraph Font"/>
    <w:uiPriority w:val="1"/>
    <w:semiHidden/>
    <w:unhideWhenUsed/>
    <w:rsid w:val="000821F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821F6"/>
  </w:style>
  <w:style w:type="paragraph" w:customStyle="1" w:styleId="Abstract">
    <w:name w:val="Abstract"/>
    <w:link w:val="AbstractChar"/>
    <w:rsid w:val="006F749D"/>
    <w:pPr>
      <w:spacing w:after="120" w:line="240" w:lineRule="auto"/>
    </w:pPr>
    <w:rPr>
      <w:rFonts w:ascii="Arial" w:eastAsia="Arial Unicode MS" w:hAnsi="Arial" w:cs="Arial"/>
      <w:color w:val="000000"/>
      <w:sz w:val="24"/>
      <w:szCs w:val="24"/>
      <w:lang w:val="en-US" w:eastAsia="en-US"/>
    </w:rPr>
  </w:style>
  <w:style w:type="character" w:customStyle="1" w:styleId="AbstractChar">
    <w:name w:val="Abstract Char"/>
    <w:link w:val="Abstract"/>
    <w:rsid w:val="006F749D"/>
    <w:rPr>
      <w:rFonts w:ascii="Arial" w:eastAsia="Arial Unicode MS" w:hAnsi="Arial" w:cs="Arial"/>
      <w:color w:val="000000"/>
      <w:sz w:val="24"/>
      <w:szCs w:val="24"/>
      <w:lang w:val="en-US" w:eastAsia="en-US"/>
    </w:rPr>
  </w:style>
  <w:style w:type="paragraph" w:customStyle="1" w:styleId="Annex">
    <w:name w:val="Annex"/>
    <w:basedOn w:val="Paragraph"/>
    <w:next w:val="Paragraph"/>
    <w:qFormat/>
    <w:rsid w:val="006F749D"/>
    <w:pPr>
      <w:numPr>
        <w:numId w:val="11"/>
      </w:numPr>
      <w:spacing w:before="240" w:after="240"/>
      <w:ind w:left="0" w:firstLine="0"/>
    </w:pPr>
    <w:rPr>
      <w:b/>
    </w:rPr>
  </w:style>
  <w:style w:type="paragraph" w:customStyle="1" w:styleId="AuthoringGroup">
    <w:name w:val="Authoring Group"/>
    <w:link w:val="AuthoringGroupChar"/>
    <w:rsid w:val="006F749D"/>
    <w:pPr>
      <w:spacing w:after="120" w:line="240" w:lineRule="auto"/>
    </w:pPr>
    <w:rPr>
      <w:rFonts w:ascii="Arial" w:eastAsia="Arial Unicode MS" w:hAnsi="Arial" w:cs="Arial"/>
      <w:color w:val="000000"/>
      <w:sz w:val="24"/>
      <w:lang w:val="en-US" w:eastAsia="en-US"/>
    </w:rPr>
  </w:style>
  <w:style w:type="character" w:customStyle="1" w:styleId="AuthoringGroupChar">
    <w:name w:val="Authoring Group Char"/>
    <w:link w:val="AuthoringGroup"/>
    <w:rsid w:val="006F749D"/>
    <w:rPr>
      <w:rFonts w:ascii="Arial" w:eastAsia="Arial Unicode MS" w:hAnsi="Arial" w:cs="Arial"/>
      <w:color w:val="000000"/>
      <w:sz w:val="24"/>
      <w:lang w:val="en-US" w:eastAsia="en-US"/>
    </w:rPr>
  </w:style>
  <w:style w:type="paragraph" w:customStyle="1" w:styleId="Background">
    <w:name w:val="Background"/>
    <w:aliases w:val="(A) Background"/>
    <w:basedOn w:val="Normal"/>
    <w:rsid w:val="006F749D"/>
    <w:pPr>
      <w:numPr>
        <w:numId w:val="1"/>
      </w:numPr>
      <w:spacing w:before="120" w:after="120" w:line="300" w:lineRule="atLeast"/>
      <w:jc w:val="both"/>
    </w:pPr>
    <w:rPr>
      <w:rFonts w:ascii="Arial" w:eastAsia="Arial Unicode MS" w:hAnsi="Arial" w:cs="Arial"/>
      <w:color w:val="000000"/>
      <w:szCs w:val="20"/>
    </w:rPr>
  </w:style>
  <w:style w:type="paragraph" w:customStyle="1" w:styleId="BulletList1">
    <w:name w:val="Bullet List 1"/>
    <w:aliases w:val="Bullet1"/>
    <w:basedOn w:val="Normal"/>
    <w:rsid w:val="006F749D"/>
    <w:pPr>
      <w:numPr>
        <w:numId w:val="2"/>
      </w:numPr>
      <w:spacing w:after="240" w:line="300" w:lineRule="atLeast"/>
      <w:jc w:val="both"/>
    </w:pPr>
    <w:rPr>
      <w:rFonts w:ascii="Arial" w:eastAsia="Arial Unicode MS" w:hAnsi="Arial" w:cs="Arial"/>
      <w:color w:val="000000"/>
      <w:szCs w:val="20"/>
    </w:rPr>
  </w:style>
  <w:style w:type="paragraph" w:customStyle="1" w:styleId="BulletList2">
    <w:name w:val="Bullet List 2"/>
    <w:aliases w:val="Bullet2"/>
    <w:basedOn w:val="Normal"/>
    <w:rsid w:val="006F749D"/>
    <w:pPr>
      <w:numPr>
        <w:numId w:val="3"/>
      </w:numPr>
      <w:spacing w:after="120" w:line="240" w:lineRule="auto"/>
      <w:ind w:left="1080" w:hanging="720"/>
      <w:jc w:val="both"/>
    </w:pPr>
    <w:rPr>
      <w:rFonts w:ascii="Arial" w:eastAsia="Arial Unicode MS" w:hAnsi="Arial" w:cs="Arial"/>
      <w:color w:val="000000"/>
      <w:szCs w:val="20"/>
    </w:rPr>
  </w:style>
  <w:style w:type="paragraph" w:customStyle="1" w:styleId="BulletList3">
    <w:name w:val="Bullet List 3"/>
    <w:aliases w:val="Bullet3"/>
    <w:basedOn w:val="Normal"/>
    <w:rsid w:val="006F749D"/>
    <w:pPr>
      <w:numPr>
        <w:numId w:val="4"/>
      </w:numPr>
      <w:spacing w:after="240" w:line="240" w:lineRule="auto"/>
      <w:jc w:val="both"/>
    </w:pPr>
    <w:rPr>
      <w:rFonts w:ascii="Arial" w:eastAsia="Arial Unicode MS" w:hAnsi="Arial" w:cs="Arial"/>
      <w:color w:val="000000"/>
      <w:szCs w:val="20"/>
    </w:rPr>
  </w:style>
  <w:style w:type="paragraph" w:customStyle="1" w:styleId="TitleClause">
    <w:name w:val="Title Clause"/>
    <w:basedOn w:val="Normal"/>
    <w:rsid w:val="006F749D"/>
    <w:pPr>
      <w:keepNext/>
      <w:numPr>
        <w:numId w:val="24"/>
      </w:numPr>
      <w:spacing w:before="240" w:after="240" w:line="300" w:lineRule="atLeast"/>
      <w:jc w:val="both"/>
      <w:outlineLvl w:val="0"/>
    </w:pPr>
    <w:rPr>
      <w:rFonts w:ascii="Arial" w:eastAsia="Arial Unicode MS" w:hAnsi="Arial" w:cs="Arial"/>
      <w:b/>
      <w:color w:val="000000"/>
      <w:kern w:val="28"/>
      <w:szCs w:val="20"/>
    </w:rPr>
  </w:style>
  <w:style w:type="paragraph" w:customStyle="1" w:styleId="ClauseNoTitle">
    <w:name w:val="Clause No Title"/>
    <w:basedOn w:val="TitleClause"/>
    <w:rsid w:val="006F749D"/>
    <w:rPr>
      <w:b w:val="0"/>
      <w:smallCaps/>
    </w:rPr>
  </w:style>
  <w:style w:type="paragraph" w:customStyle="1" w:styleId="ClosingPara">
    <w:name w:val="Closing Para"/>
    <w:basedOn w:val="Normal"/>
    <w:rsid w:val="006F749D"/>
    <w:pPr>
      <w:spacing w:before="120" w:after="240" w:line="300" w:lineRule="atLeast"/>
      <w:jc w:val="both"/>
    </w:pPr>
    <w:rPr>
      <w:rFonts w:ascii="Arial" w:eastAsia="Arial Unicode MS" w:hAnsi="Arial" w:cs="Arial"/>
      <w:color w:val="000000"/>
      <w:szCs w:val="20"/>
    </w:rPr>
  </w:style>
  <w:style w:type="paragraph" w:customStyle="1" w:styleId="ClosingSignOff">
    <w:name w:val="Closing SignOff"/>
    <w:basedOn w:val="Normal"/>
    <w:rsid w:val="006F749D"/>
    <w:pPr>
      <w:spacing w:after="120" w:line="300" w:lineRule="atLeast"/>
      <w:jc w:val="both"/>
    </w:pPr>
    <w:rPr>
      <w:rFonts w:ascii="Arial" w:eastAsia="Arial Unicode MS" w:hAnsi="Arial" w:cs="Arial"/>
      <w:color w:val="000000"/>
      <w:szCs w:val="20"/>
    </w:rPr>
  </w:style>
  <w:style w:type="paragraph" w:customStyle="1" w:styleId="CoversheetTitle">
    <w:name w:val="Coversheet Title"/>
    <w:basedOn w:val="Normal"/>
    <w:autoRedefine/>
    <w:rsid w:val="00E25AD2"/>
    <w:pPr>
      <w:spacing w:before="480" w:after="480" w:line="300" w:lineRule="atLeast"/>
      <w:jc w:val="center"/>
    </w:pPr>
    <w:rPr>
      <w:rFonts w:ascii="Arial" w:eastAsia="Arial Unicode MS" w:hAnsi="Arial" w:cs="Arial"/>
      <w:b/>
      <w:smallCaps/>
      <w:color w:val="000000"/>
    </w:rPr>
  </w:style>
  <w:style w:type="paragraph" w:customStyle="1" w:styleId="CoverSheetHeading">
    <w:name w:val="Cover Sheet Heading"/>
    <w:aliases w:val="Coversheet Title2"/>
    <w:basedOn w:val="CoversheetTitle"/>
    <w:rsid w:val="006F749D"/>
  </w:style>
  <w:style w:type="paragraph" w:customStyle="1" w:styleId="CoverSheetSubjectText">
    <w:name w:val="Cover Sheet Subject Text"/>
    <w:basedOn w:val="Normal"/>
    <w:rsid w:val="006F749D"/>
    <w:pPr>
      <w:spacing w:after="0" w:line="300" w:lineRule="atLeast"/>
      <w:jc w:val="center"/>
    </w:pPr>
    <w:rPr>
      <w:rFonts w:ascii="Arial" w:eastAsia="Arial Unicode MS" w:hAnsi="Arial" w:cs="Arial"/>
      <w:color w:val="000000"/>
      <w:szCs w:val="20"/>
    </w:rPr>
  </w:style>
  <w:style w:type="paragraph" w:customStyle="1" w:styleId="CoverSheetSubjectTitle">
    <w:name w:val="Cover Sheet Subject Title"/>
    <w:basedOn w:val="Normal"/>
    <w:rsid w:val="006F749D"/>
    <w:pPr>
      <w:spacing w:after="0" w:line="300" w:lineRule="atLeast"/>
      <w:jc w:val="center"/>
    </w:pPr>
    <w:rPr>
      <w:rFonts w:ascii="Arial" w:eastAsia="Arial Unicode MS" w:hAnsi="Arial" w:cs="Arial"/>
      <w:color w:val="000000"/>
      <w:szCs w:val="20"/>
    </w:rPr>
  </w:style>
  <w:style w:type="paragraph" w:customStyle="1" w:styleId="DefinedTermPara">
    <w:name w:val="Defined Term Para"/>
    <w:basedOn w:val="Paragraph"/>
    <w:qFormat/>
    <w:rsid w:val="006F749D"/>
    <w:pPr>
      <w:numPr>
        <w:numId w:val="23"/>
      </w:numPr>
    </w:pPr>
  </w:style>
  <w:style w:type="paragraph" w:customStyle="1" w:styleId="DescriptiveHeading">
    <w:name w:val="DescriptiveHeading"/>
    <w:next w:val="Paragraph"/>
    <w:link w:val="DescriptiveHeadingChar"/>
    <w:rsid w:val="006F749D"/>
    <w:pPr>
      <w:spacing w:before="360" w:after="360" w:line="240" w:lineRule="auto"/>
      <w:outlineLvl w:val="0"/>
    </w:pPr>
    <w:rPr>
      <w:rFonts w:ascii="Arial" w:eastAsia="Arial Unicode MS" w:hAnsi="Arial" w:cs="Arial"/>
      <w:b/>
      <w:color w:val="000000"/>
      <w:lang w:val="en-US" w:eastAsia="en-US"/>
    </w:rPr>
  </w:style>
  <w:style w:type="character" w:customStyle="1" w:styleId="DescriptiveHeadingChar">
    <w:name w:val="DescriptiveHeading Char"/>
    <w:link w:val="DescriptiveHeading"/>
    <w:rsid w:val="006F749D"/>
    <w:rPr>
      <w:rFonts w:ascii="Arial" w:eastAsia="Arial Unicode MS" w:hAnsi="Arial" w:cs="Arial"/>
      <w:b/>
      <w:color w:val="000000"/>
      <w:lang w:val="en-US" w:eastAsia="en-US"/>
    </w:rPr>
  </w:style>
  <w:style w:type="paragraph" w:customStyle="1" w:styleId="DraftingnoteSection1Para">
    <w:name w:val="Draftingnote Section1 Para"/>
    <w:basedOn w:val="Normal"/>
    <w:rsid w:val="006F749D"/>
    <w:pPr>
      <w:spacing w:after="120" w:line="300" w:lineRule="atLeast"/>
      <w:jc w:val="both"/>
    </w:pPr>
    <w:rPr>
      <w:rFonts w:ascii="Arial" w:eastAsia="Arial Unicode MS" w:hAnsi="Arial" w:cs="Arial"/>
      <w:color w:val="000000"/>
      <w:szCs w:val="20"/>
    </w:rPr>
  </w:style>
  <w:style w:type="paragraph" w:customStyle="1" w:styleId="DraftingnoteSection1Title">
    <w:name w:val="Draftingnote Section1 Title"/>
    <w:basedOn w:val="Normal"/>
    <w:rsid w:val="006F749D"/>
    <w:pPr>
      <w:spacing w:after="120" w:line="300" w:lineRule="atLeast"/>
      <w:jc w:val="both"/>
    </w:pPr>
    <w:rPr>
      <w:rFonts w:ascii="Arial" w:eastAsia="Arial Unicode MS" w:hAnsi="Arial" w:cs="Arial"/>
      <w:b/>
      <w:color w:val="000000"/>
      <w:sz w:val="36"/>
      <w:szCs w:val="20"/>
    </w:rPr>
  </w:style>
  <w:style w:type="paragraph" w:customStyle="1" w:styleId="DraftingnoteSection2Para">
    <w:name w:val="Draftingnote Section2 Para"/>
    <w:basedOn w:val="Normal"/>
    <w:rsid w:val="006F749D"/>
    <w:pPr>
      <w:spacing w:after="120" w:line="300" w:lineRule="atLeast"/>
      <w:jc w:val="both"/>
    </w:pPr>
    <w:rPr>
      <w:rFonts w:ascii="Arial" w:eastAsia="Arial Unicode MS" w:hAnsi="Arial" w:cs="Arial"/>
      <w:color w:val="000000"/>
      <w:szCs w:val="20"/>
    </w:rPr>
  </w:style>
  <w:style w:type="paragraph" w:customStyle="1" w:styleId="DraftingnoteSection2Title">
    <w:name w:val="Draftingnote Section2 Title"/>
    <w:basedOn w:val="Normal"/>
    <w:rsid w:val="006F749D"/>
    <w:pPr>
      <w:spacing w:after="120" w:line="300" w:lineRule="atLeast"/>
      <w:jc w:val="both"/>
    </w:pPr>
    <w:rPr>
      <w:rFonts w:ascii="Arial" w:eastAsia="Arial Unicode MS" w:hAnsi="Arial" w:cs="Arial"/>
      <w:b/>
      <w:color w:val="000000"/>
      <w:sz w:val="28"/>
      <w:szCs w:val="20"/>
    </w:rPr>
  </w:style>
  <w:style w:type="paragraph" w:customStyle="1" w:styleId="DraftingnoteSection3Para">
    <w:name w:val="Draftingnote Section3 Para"/>
    <w:basedOn w:val="Normal"/>
    <w:rsid w:val="006F749D"/>
    <w:pPr>
      <w:spacing w:after="120" w:line="300" w:lineRule="atLeast"/>
      <w:jc w:val="both"/>
    </w:pPr>
    <w:rPr>
      <w:rFonts w:ascii="Arial" w:eastAsia="Arial Unicode MS" w:hAnsi="Arial" w:cs="Arial"/>
      <w:color w:val="000000"/>
      <w:szCs w:val="20"/>
    </w:rPr>
  </w:style>
  <w:style w:type="paragraph" w:customStyle="1" w:styleId="DraftingnoteSection3Title">
    <w:name w:val="Draftingnote Section3 Title"/>
    <w:basedOn w:val="Normal"/>
    <w:rsid w:val="006F749D"/>
    <w:pPr>
      <w:spacing w:after="120" w:line="300" w:lineRule="atLeast"/>
      <w:jc w:val="both"/>
    </w:pPr>
    <w:rPr>
      <w:rFonts w:ascii="Arial" w:eastAsia="Arial Unicode MS" w:hAnsi="Arial" w:cs="Arial"/>
      <w:b/>
      <w:i/>
      <w:color w:val="000000"/>
      <w:sz w:val="28"/>
      <w:szCs w:val="20"/>
    </w:rPr>
  </w:style>
  <w:style w:type="paragraph" w:customStyle="1" w:styleId="DraftingnoteSection4Para">
    <w:name w:val="Draftingnote Section4 Para"/>
    <w:basedOn w:val="Normal"/>
    <w:rsid w:val="006F749D"/>
    <w:pPr>
      <w:spacing w:after="120" w:line="300" w:lineRule="atLeast"/>
      <w:jc w:val="both"/>
    </w:pPr>
    <w:rPr>
      <w:rFonts w:ascii="Arial" w:eastAsia="Arial Unicode MS" w:hAnsi="Arial" w:cs="Arial"/>
      <w:color w:val="000000"/>
      <w:szCs w:val="20"/>
    </w:rPr>
  </w:style>
  <w:style w:type="paragraph" w:customStyle="1" w:styleId="DraftingnoteSection4Title">
    <w:name w:val="Draftingnote Section4 Title"/>
    <w:basedOn w:val="Normal"/>
    <w:rsid w:val="006F749D"/>
    <w:pPr>
      <w:spacing w:after="120" w:line="300" w:lineRule="atLeast"/>
      <w:jc w:val="both"/>
    </w:pPr>
    <w:rPr>
      <w:rFonts w:ascii="Arial" w:eastAsia="Arial Unicode MS" w:hAnsi="Arial" w:cs="Arial"/>
      <w:b/>
      <w:i/>
      <w:color w:val="000000"/>
      <w:sz w:val="28"/>
      <w:szCs w:val="20"/>
    </w:rPr>
  </w:style>
  <w:style w:type="paragraph" w:customStyle="1" w:styleId="DraftingnoteTitle">
    <w:name w:val="Draftingnote Title"/>
    <w:basedOn w:val="Normal"/>
    <w:rsid w:val="006F749D"/>
    <w:pPr>
      <w:spacing w:after="120" w:line="300" w:lineRule="atLeast"/>
      <w:jc w:val="both"/>
    </w:pPr>
    <w:rPr>
      <w:rFonts w:ascii="Arial" w:eastAsia="Arial Unicode MS" w:hAnsi="Arial" w:cs="Arial"/>
      <w:b/>
      <w:color w:val="000000"/>
      <w:sz w:val="28"/>
      <w:szCs w:val="20"/>
    </w:rPr>
  </w:style>
  <w:style w:type="paragraph" w:customStyle="1" w:styleId="FulltextBridgehead">
    <w:name w:val="Fulltext Bridgehead"/>
    <w:basedOn w:val="Normal"/>
    <w:rsid w:val="006F749D"/>
    <w:pPr>
      <w:spacing w:after="120" w:line="300" w:lineRule="atLeast"/>
      <w:jc w:val="both"/>
    </w:pPr>
    <w:rPr>
      <w:rFonts w:ascii="Arial" w:eastAsia="Arial Unicode MS" w:hAnsi="Arial" w:cs="Arial"/>
      <w:b/>
      <w:color w:val="000000"/>
      <w:sz w:val="48"/>
      <w:szCs w:val="20"/>
    </w:rPr>
  </w:style>
  <w:style w:type="paragraph" w:customStyle="1" w:styleId="FulltextSection1Para">
    <w:name w:val="Fulltext Section1 Para"/>
    <w:basedOn w:val="Normal"/>
    <w:rsid w:val="006F749D"/>
    <w:pPr>
      <w:spacing w:after="120" w:line="300" w:lineRule="atLeast"/>
      <w:jc w:val="both"/>
    </w:pPr>
    <w:rPr>
      <w:rFonts w:ascii="Arial" w:eastAsia="Arial Unicode MS" w:hAnsi="Arial" w:cs="Arial"/>
      <w:color w:val="000000"/>
      <w:szCs w:val="20"/>
    </w:rPr>
  </w:style>
  <w:style w:type="paragraph" w:customStyle="1" w:styleId="FulltextSection1Title">
    <w:name w:val="Fulltext Section1 Title"/>
    <w:basedOn w:val="Normal"/>
    <w:rsid w:val="006F749D"/>
    <w:pPr>
      <w:spacing w:after="120" w:line="300" w:lineRule="atLeast"/>
      <w:jc w:val="both"/>
    </w:pPr>
    <w:rPr>
      <w:rFonts w:ascii="Arial" w:eastAsia="Arial Unicode MS" w:hAnsi="Arial" w:cs="Arial"/>
      <w:b/>
      <w:color w:val="000000"/>
      <w:sz w:val="36"/>
      <w:szCs w:val="20"/>
    </w:rPr>
  </w:style>
  <w:style w:type="paragraph" w:customStyle="1" w:styleId="FulltextSection2Para">
    <w:name w:val="Fulltext Section2 Para"/>
    <w:basedOn w:val="Normal"/>
    <w:rsid w:val="006F749D"/>
    <w:pPr>
      <w:spacing w:after="120" w:line="300" w:lineRule="atLeast"/>
      <w:jc w:val="both"/>
    </w:pPr>
    <w:rPr>
      <w:rFonts w:ascii="Arial" w:eastAsia="Arial Unicode MS" w:hAnsi="Arial" w:cs="Arial"/>
      <w:color w:val="000000"/>
      <w:szCs w:val="20"/>
    </w:rPr>
  </w:style>
  <w:style w:type="paragraph" w:customStyle="1" w:styleId="FulltextSection2Title">
    <w:name w:val="Fulltext Section2 Title"/>
    <w:basedOn w:val="Normal"/>
    <w:rsid w:val="006F749D"/>
    <w:pPr>
      <w:spacing w:after="120" w:line="300" w:lineRule="atLeast"/>
      <w:jc w:val="both"/>
    </w:pPr>
    <w:rPr>
      <w:rFonts w:ascii="Arial" w:eastAsia="Arial Unicode MS" w:hAnsi="Arial" w:cs="Arial"/>
      <w:b/>
      <w:color w:val="000000"/>
      <w:sz w:val="28"/>
      <w:szCs w:val="20"/>
    </w:rPr>
  </w:style>
  <w:style w:type="paragraph" w:customStyle="1" w:styleId="FulltextSection3Para">
    <w:name w:val="Fulltext Section3 Para"/>
    <w:basedOn w:val="Normal"/>
    <w:rsid w:val="006F749D"/>
    <w:pPr>
      <w:spacing w:after="120" w:line="300" w:lineRule="atLeast"/>
      <w:jc w:val="both"/>
    </w:pPr>
    <w:rPr>
      <w:rFonts w:ascii="Arial" w:eastAsia="Arial Unicode MS" w:hAnsi="Arial" w:cs="Arial"/>
      <w:color w:val="000000"/>
      <w:szCs w:val="20"/>
    </w:rPr>
  </w:style>
  <w:style w:type="paragraph" w:customStyle="1" w:styleId="FulltextSection3Title">
    <w:name w:val="Fulltext Section3 Title"/>
    <w:basedOn w:val="Normal"/>
    <w:rsid w:val="006F749D"/>
    <w:pPr>
      <w:spacing w:after="120" w:line="300" w:lineRule="atLeast"/>
      <w:jc w:val="both"/>
    </w:pPr>
    <w:rPr>
      <w:rFonts w:ascii="Arial" w:eastAsia="Arial Unicode MS" w:hAnsi="Arial" w:cs="Arial"/>
      <w:b/>
      <w:i/>
      <w:color w:val="000000"/>
      <w:sz w:val="28"/>
      <w:szCs w:val="20"/>
    </w:rPr>
  </w:style>
  <w:style w:type="paragraph" w:customStyle="1" w:styleId="FulltextSection4Para">
    <w:name w:val="Fulltext Section4 Para"/>
    <w:basedOn w:val="Normal"/>
    <w:rsid w:val="006F749D"/>
    <w:pPr>
      <w:spacing w:after="120" w:line="300" w:lineRule="atLeast"/>
      <w:jc w:val="both"/>
    </w:pPr>
    <w:rPr>
      <w:rFonts w:ascii="Arial" w:eastAsia="Arial Unicode MS" w:hAnsi="Arial" w:cs="Arial"/>
      <w:color w:val="000000"/>
      <w:szCs w:val="20"/>
    </w:rPr>
  </w:style>
  <w:style w:type="paragraph" w:customStyle="1" w:styleId="FulltextSection4Title">
    <w:name w:val="Fulltext Section4 Title"/>
    <w:basedOn w:val="Normal"/>
    <w:rsid w:val="006F749D"/>
    <w:pPr>
      <w:spacing w:after="120" w:line="300" w:lineRule="atLeast"/>
      <w:jc w:val="both"/>
    </w:pPr>
    <w:rPr>
      <w:rFonts w:ascii="Arial" w:eastAsia="Arial Unicode MS" w:hAnsi="Arial" w:cs="Arial"/>
      <w:b/>
      <w:i/>
      <w:color w:val="000000"/>
      <w:sz w:val="28"/>
      <w:szCs w:val="20"/>
    </w:rPr>
  </w:style>
  <w:style w:type="paragraph" w:customStyle="1" w:styleId="GlossItemGlossdefPara">
    <w:name w:val="GlossItem Glossdef Para"/>
    <w:basedOn w:val="Normal"/>
    <w:rsid w:val="006F749D"/>
    <w:pPr>
      <w:spacing w:after="120" w:line="300" w:lineRule="atLeast"/>
      <w:jc w:val="both"/>
    </w:pPr>
    <w:rPr>
      <w:rFonts w:ascii="Arial" w:eastAsia="Arial Unicode MS" w:hAnsi="Arial" w:cs="Arial"/>
      <w:color w:val="000000"/>
      <w:szCs w:val="20"/>
    </w:rPr>
  </w:style>
  <w:style w:type="paragraph" w:customStyle="1" w:styleId="GlossItemGlossterm">
    <w:name w:val="GlossItem Glossterm"/>
    <w:basedOn w:val="Normal"/>
    <w:rsid w:val="006F749D"/>
    <w:pPr>
      <w:spacing w:after="120" w:line="300" w:lineRule="atLeast"/>
      <w:jc w:val="both"/>
    </w:pPr>
    <w:rPr>
      <w:rFonts w:ascii="Arial" w:eastAsia="Arial Unicode MS" w:hAnsi="Arial" w:cs="Arial"/>
      <w:b/>
      <w:color w:val="000000"/>
      <w:sz w:val="48"/>
      <w:szCs w:val="20"/>
    </w:rPr>
  </w:style>
  <w:style w:type="paragraph" w:customStyle="1" w:styleId="HeadingAddressLine">
    <w:name w:val="Heading Address Line"/>
    <w:basedOn w:val="Normal"/>
    <w:rsid w:val="006F749D"/>
    <w:pPr>
      <w:spacing w:after="120" w:line="300" w:lineRule="atLeast"/>
      <w:jc w:val="both"/>
    </w:pPr>
    <w:rPr>
      <w:rFonts w:ascii="Arial" w:eastAsia="Arial Unicode MS" w:hAnsi="Arial" w:cs="Arial"/>
      <w:color w:val="000000"/>
      <w:szCs w:val="20"/>
    </w:rPr>
  </w:style>
  <w:style w:type="paragraph" w:customStyle="1" w:styleId="HeadingDate">
    <w:name w:val="Heading Date"/>
    <w:basedOn w:val="Normal"/>
    <w:rsid w:val="006F749D"/>
    <w:pPr>
      <w:spacing w:after="120" w:line="300" w:lineRule="atLeast"/>
      <w:jc w:val="both"/>
    </w:pPr>
    <w:rPr>
      <w:rFonts w:ascii="Arial" w:eastAsia="Arial Unicode MS" w:hAnsi="Arial" w:cs="Arial"/>
      <w:color w:val="000000"/>
      <w:szCs w:val="20"/>
    </w:rPr>
  </w:style>
  <w:style w:type="paragraph" w:customStyle="1" w:styleId="HeadingLetterheadBasedOnAttribute">
    <w:name w:val="Heading Letterhead Based On Attribute"/>
    <w:basedOn w:val="Normal"/>
    <w:rsid w:val="006F749D"/>
    <w:pPr>
      <w:spacing w:after="120" w:line="300" w:lineRule="atLeast"/>
      <w:jc w:val="both"/>
    </w:pPr>
    <w:rPr>
      <w:rFonts w:ascii="Arial" w:eastAsia="Arial Unicode MS" w:hAnsi="Arial" w:cs="Arial"/>
      <w:color w:val="000000"/>
      <w:szCs w:val="20"/>
    </w:rPr>
  </w:style>
  <w:style w:type="paragraph" w:customStyle="1" w:styleId="HeadingSalutation">
    <w:name w:val="Heading Salutation"/>
    <w:basedOn w:val="Normal"/>
    <w:rsid w:val="006F749D"/>
    <w:pPr>
      <w:spacing w:after="120" w:line="300" w:lineRule="atLeast"/>
      <w:jc w:val="both"/>
    </w:pPr>
    <w:rPr>
      <w:rFonts w:ascii="Arial" w:eastAsia="Arial Unicode MS" w:hAnsi="Arial" w:cs="Arial"/>
      <w:color w:val="000000"/>
      <w:szCs w:val="20"/>
    </w:rPr>
  </w:style>
  <w:style w:type="paragraph" w:customStyle="1" w:styleId="IgnoredSpacing">
    <w:name w:val="Ignored Spacing"/>
    <w:link w:val="IgnoredSpacingChar"/>
    <w:rsid w:val="006F749D"/>
    <w:pPr>
      <w:spacing w:after="120" w:line="240" w:lineRule="auto"/>
    </w:pPr>
    <w:rPr>
      <w:rFonts w:ascii="Arial" w:eastAsia="Arial Unicode MS" w:hAnsi="Arial" w:cs="Arial"/>
      <w:color w:val="000000"/>
      <w:sz w:val="24"/>
      <w:szCs w:val="24"/>
      <w:lang w:val="en-US" w:eastAsia="en-US"/>
    </w:rPr>
  </w:style>
  <w:style w:type="character" w:customStyle="1" w:styleId="IgnoredSpacingChar">
    <w:name w:val="Ignored Spacing Char"/>
    <w:link w:val="IgnoredSpacing"/>
    <w:rsid w:val="006F749D"/>
    <w:rPr>
      <w:rFonts w:ascii="Arial" w:eastAsia="Arial Unicode MS" w:hAnsi="Arial" w:cs="Arial"/>
      <w:color w:val="000000"/>
      <w:sz w:val="24"/>
      <w:szCs w:val="24"/>
      <w:lang w:val="en-US" w:eastAsia="en-US"/>
    </w:rPr>
  </w:style>
  <w:style w:type="paragraph" w:customStyle="1" w:styleId="InternalAuthor">
    <w:name w:val="Internal Author"/>
    <w:link w:val="InternalAuthorChar"/>
    <w:rsid w:val="006F749D"/>
    <w:pPr>
      <w:spacing w:after="120" w:line="240" w:lineRule="auto"/>
    </w:pPr>
    <w:rPr>
      <w:rFonts w:ascii="Arial" w:eastAsia="Arial Unicode MS" w:hAnsi="Arial" w:cs="Arial"/>
      <w:color w:val="000000"/>
      <w:sz w:val="24"/>
      <w:lang w:val="en-US" w:eastAsia="en-US"/>
    </w:rPr>
  </w:style>
  <w:style w:type="character" w:customStyle="1" w:styleId="InternalAuthorChar">
    <w:name w:val="Internal Author Char"/>
    <w:link w:val="InternalAuthor"/>
    <w:rsid w:val="006F749D"/>
    <w:rPr>
      <w:rFonts w:ascii="Arial" w:eastAsia="Arial Unicode MS" w:hAnsi="Arial" w:cs="Arial"/>
      <w:color w:val="000000"/>
      <w:sz w:val="24"/>
      <w:lang w:val="en-US" w:eastAsia="en-US"/>
    </w:rPr>
  </w:style>
  <w:style w:type="paragraph" w:customStyle="1" w:styleId="MaintenanceEditor">
    <w:name w:val="Maintenance Editor"/>
    <w:link w:val="MaintenanceEditorChar"/>
    <w:rsid w:val="006F749D"/>
    <w:pPr>
      <w:spacing w:after="120" w:line="240" w:lineRule="auto"/>
    </w:pPr>
    <w:rPr>
      <w:rFonts w:ascii="Arial" w:eastAsia="Arial Unicode MS" w:hAnsi="Arial" w:cs="Arial"/>
      <w:color w:val="000000"/>
      <w:sz w:val="24"/>
      <w:lang w:val="en-US" w:eastAsia="en-US"/>
    </w:rPr>
  </w:style>
  <w:style w:type="character" w:customStyle="1" w:styleId="MaintenanceEditorChar">
    <w:name w:val="Maintenance Editor Char"/>
    <w:link w:val="MaintenanceEditor"/>
    <w:rsid w:val="006F749D"/>
    <w:rPr>
      <w:rFonts w:ascii="Arial" w:eastAsia="Arial Unicode MS" w:hAnsi="Arial" w:cs="Arial"/>
      <w:color w:val="000000"/>
      <w:sz w:val="24"/>
      <w:lang w:val="en-US" w:eastAsia="en-US"/>
    </w:rPr>
  </w:style>
  <w:style w:type="paragraph" w:customStyle="1" w:styleId="ParaClause">
    <w:name w:val="Para Clause"/>
    <w:basedOn w:val="Normal"/>
    <w:rsid w:val="006F749D"/>
    <w:pPr>
      <w:spacing w:before="120" w:after="120" w:line="300" w:lineRule="atLeast"/>
      <w:ind w:left="720"/>
      <w:jc w:val="both"/>
    </w:pPr>
    <w:rPr>
      <w:rFonts w:ascii="Arial" w:eastAsia="Arial Unicode MS" w:hAnsi="Arial" w:cs="Arial"/>
      <w:color w:val="000000"/>
      <w:szCs w:val="20"/>
    </w:rPr>
  </w:style>
  <w:style w:type="paragraph" w:customStyle="1" w:styleId="Parasubclause1">
    <w:name w:val="Para subclause 1"/>
    <w:aliases w:val="BIWS Heading 2"/>
    <w:basedOn w:val="Normal"/>
    <w:rsid w:val="006F749D"/>
    <w:pPr>
      <w:spacing w:before="240" w:after="120" w:line="300" w:lineRule="atLeast"/>
      <w:ind w:left="720"/>
      <w:jc w:val="both"/>
    </w:pPr>
    <w:rPr>
      <w:rFonts w:ascii="Arial" w:eastAsia="Arial Unicode MS" w:hAnsi="Arial" w:cs="Arial"/>
      <w:color w:val="000000"/>
      <w:szCs w:val="20"/>
    </w:rPr>
  </w:style>
  <w:style w:type="paragraph" w:customStyle="1" w:styleId="Untitledsubclause1">
    <w:name w:val="Untitled subclause 1"/>
    <w:basedOn w:val="Normal"/>
    <w:rsid w:val="006F749D"/>
    <w:pPr>
      <w:numPr>
        <w:ilvl w:val="1"/>
        <w:numId w:val="24"/>
      </w:numPr>
      <w:spacing w:before="280" w:after="120" w:line="300" w:lineRule="atLeast"/>
      <w:jc w:val="both"/>
      <w:outlineLvl w:val="1"/>
    </w:pPr>
    <w:rPr>
      <w:rFonts w:ascii="Arial" w:eastAsia="Arial Unicode MS" w:hAnsi="Arial" w:cs="Arial"/>
      <w:color w:val="000000"/>
      <w:szCs w:val="20"/>
    </w:rPr>
  </w:style>
  <w:style w:type="paragraph" w:customStyle="1" w:styleId="Parasubclause2">
    <w:name w:val="Para subclause 2"/>
    <w:aliases w:val="BIWS Heading 3"/>
    <w:basedOn w:val="Normal"/>
    <w:rsid w:val="006F749D"/>
    <w:pPr>
      <w:spacing w:after="240" w:line="300" w:lineRule="atLeast"/>
      <w:ind w:left="1559"/>
      <w:jc w:val="both"/>
    </w:pPr>
    <w:rPr>
      <w:rFonts w:ascii="Arial" w:eastAsia="Arial Unicode MS" w:hAnsi="Arial" w:cs="Arial"/>
      <w:color w:val="000000"/>
      <w:szCs w:val="20"/>
    </w:rPr>
  </w:style>
  <w:style w:type="paragraph" w:customStyle="1" w:styleId="Untitledsubclause2">
    <w:name w:val="Untitled subclause 2"/>
    <w:basedOn w:val="Normal"/>
    <w:rsid w:val="006F749D"/>
    <w:pPr>
      <w:numPr>
        <w:ilvl w:val="2"/>
        <w:numId w:val="24"/>
      </w:numPr>
      <w:spacing w:after="120" w:line="300" w:lineRule="atLeast"/>
      <w:jc w:val="both"/>
      <w:outlineLvl w:val="2"/>
    </w:pPr>
    <w:rPr>
      <w:rFonts w:ascii="Arial" w:eastAsia="Arial Unicode MS" w:hAnsi="Arial" w:cs="Arial"/>
      <w:color w:val="000000"/>
      <w:szCs w:val="20"/>
    </w:rPr>
  </w:style>
  <w:style w:type="paragraph" w:customStyle="1" w:styleId="Parasubclause3">
    <w:name w:val="Para subclause 3"/>
    <w:aliases w:val="BIWS Heading 4"/>
    <w:basedOn w:val="Normal"/>
    <w:next w:val="Untitledsubclause2"/>
    <w:rsid w:val="006F749D"/>
    <w:pPr>
      <w:spacing w:after="120" w:line="300" w:lineRule="atLeast"/>
      <w:ind w:left="2268"/>
      <w:jc w:val="both"/>
    </w:pPr>
    <w:rPr>
      <w:rFonts w:ascii="Arial" w:eastAsia="Arial Unicode MS" w:hAnsi="Arial" w:cs="Arial"/>
      <w:color w:val="000000"/>
      <w:szCs w:val="20"/>
    </w:rPr>
  </w:style>
  <w:style w:type="paragraph" w:customStyle="1" w:styleId="Untitledsubclause3">
    <w:name w:val="Untitled subclause 3"/>
    <w:basedOn w:val="Normal"/>
    <w:rsid w:val="006F749D"/>
    <w:pPr>
      <w:numPr>
        <w:ilvl w:val="3"/>
        <w:numId w:val="24"/>
      </w:numPr>
      <w:tabs>
        <w:tab w:val="left" w:pos="2261"/>
      </w:tabs>
      <w:spacing w:after="120" w:line="300" w:lineRule="atLeast"/>
      <w:jc w:val="both"/>
      <w:outlineLvl w:val="3"/>
    </w:pPr>
    <w:rPr>
      <w:rFonts w:ascii="Arial" w:eastAsia="Arial Unicode MS" w:hAnsi="Arial" w:cs="Arial"/>
      <w:color w:val="000000"/>
      <w:szCs w:val="20"/>
    </w:rPr>
  </w:style>
  <w:style w:type="paragraph" w:customStyle="1" w:styleId="Parasubclause4">
    <w:name w:val="Para subclause 4"/>
    <w:aliases w:val="BIWS Heading 5"/>
    <w:basedOn w:val="Parasubclause3"/>
    <w:rsid w:val="006F749D"/>
    <w:pPr>
      <w:spacing w:after="240"/>
      <w:ind w:left="3028"/>
    </w:pPr>
  </w:style>
  <w:style w:type="paragraph" w:customStyle="1" w:styleId="Untitledsubclause4">
    <w:name w:val="Untitled subclause 4"/>
    <w:basedOn w:val="Normal"/>
    <w:rsid w:val="006F749D"/>
    <w:pPr>
      <w:numPr>
        <w:ilvl w:val="4"/>
        <w:numId w:val="24"/>
      </w:numPr>
      <w:spacing w:after="120" w:line="300" w:lineRule="atLeast"/>
      <w:jc w:val="both"/>
      <w:outlineLvl w:val="4"/>
    </w:pPr>
    <w:rPr>
      <w:rFonts w:ascii="Arial" w:eastAsia="Arial Unicode MS" w:hAnsi="Arial" w:cs="Arial"/>
      <w:color w:val="000000"/>
      <w:szCs w:val="20"/>
    </w:rPr>
  </w:style>
  <w:style w:type="paragraph" w:customStyle="1" w:styleId="Para">
    <w:name w:val="Para"/>
    <w:aliases w:val="PLC Style - Normal"/>
    <w:basedOn w:val="Normal"/>
    <w:rsid w:val="006F749D"/>
    <w:pPr>
      <w:spacing w:after="120" w:line="300" w:lineRule="atLeast"/>
      <w:jc w:val="both"/>
    </w:pPr>
    <w:rPr>
      <w:rFonts w:ascii="Arial" w:eastAsia="Arial Unicode MS" w:hAnsi="Arial" w:cs="Arial"/>
      <w:color w:val="000000"/>
      <w:szCs w:val="20"/>
    </w:rPr>
  </w:style>
  <w:style w:type="paragraph" w:customStyle="1" w:styleId="Parties">
    <w:name w:val="Parties"/>
    <w:aliases w:val="(1) Parties"/>
    <w:basedOn w:val="Normal"/>
    <w:rsid w:val="006F749D"/>
    <w:pPr>
      <w:numPr>
        <w:numId w:val="5"/>
      </w:numPr>
      <w:spacing w:before="120" w:after="120" w:line="300" w:lineRule="atLeast"/>
      <w:jc w:val="both"/>
    </w:pPr>
    <w:rPr>
      <w:rFonts w:ascii="Arial" w:eastAsia="Arial Unicode MS" w:hAnsi="Arial" w:cs="Arial"/>
      <w:color w:val="000000"/>
      <w:szCs w:val="20"/>
    </w:rPr>
  </w:style>
  <w:style w:type="paragraph" w:customStyle="1" w:styleId="ResourceHistoryAuthor">
    <w:name w:val="Resource History Author"/>
    <w:link w:val="ResourceHistoryAuthorChar"/>
    <w:rsid w:val="006F749D"/>
    <w:pPr>
      <w:spacing w:after="120" w:line="240" w:lineRule="auto"/>
    </w:pPr>
    <w:rPr>
      <w:rFonts w:ascii="Arial" w:eastAsia="Arial Unicode MS" w:hAnsi="Arial" w:cs="Arial"/>
      <w:color w:val="000000"/>
      <w:sz w:val="24"/>
      <w:szCs w:val="24"/>
      <w:lang w:val="en-US" w:eastAsia="en-US"/>
    </w:rPr>
  </w:style>
  <w:style w:type="character" w:customStyle="1" w:styleId="ResourceHistoryAuthorChar">
    <w:name w:val="Resource History Author Char"/>
    <w:link w:val="ResourceHistoryAuthor"/>
    <w:rsid w:val="006F749D"/>
    <w:rPr>
      <w:rFonts w:ascii="Arial" w:eastAsia="Arial Unicode MS" w:hAnsi="Arial" w:cs="Arial"/>
      <w:color w:val="000000"/>
      <w:sz w:val="24"/>
      <w:szCs w:val="24"/>
      <w:lang w:val="en-US" w:eastAsia="en-US"/>
    </w:rPr>
  </w:style>
  <w:style w:type="paragraph" w:customStyle="1" w:styleId="ResourceHistoryDate">
    <w:name w:val="Resource History Date"/>
    <w:link w:val="ResourceHistoryDateChar"/>
    <w:rsid w:val="006F749D"/>
    <w:pPr>
      <w:spacing w:after="120" w:line="240" w:lineRule="auto"/>
    </w:pPr>
    <w:rPr>
      <w:rFonts w:ascii="Arial" w:eastAsia="Arial Unicode MS" w:hAnsi="Arial" w:cs="Arial"/>
      <w:color w:val="000000"/>
      <w:sz w:val="24"/>
      <w:szCs w:val="24"/>
      <w:lang w:val="en-US" w:eastAsia="en-US"/>
    </w:rPr>
  </w:style>
  <w:style w:type="character" w:customStyle="1" w:styleId="ResourceHistoryDateChar">
    <w:name w:val="Resource History Date Char"/>
    <w:link w:val="ResourceHistoryDate"/>
    <w:rsid w:val="006F749D"/>
    <w:rPr>
      <w:rFonts w:ascii="Arial" w:eastAsia="Arial Unicode MS" w:hAnsi="Arial" w:cs="Arial"/>
      <w:color w:val="000000"/>
      <w:sz w:val="24"/>
      <w:szCs w:val="24"/>
      <w:lang w:val="en-US" w:eastAsia="en-US"/>
    </w:rPr>
  </w:style>
  <w:style w:type="paragraph" w:customStyle="1" w:styleId="ResourceHistoryDesc">
    <w:name w:val="Resource History Desc"/>
    <w:link w:val="ResourceHistoryDescChar"/>
    <w:rsid w:val="006F749D"/>
    <w:pPr>
      <w:spacing w:after="120" w:line="240" w:lineRule="auto"/>
    </w:pPr>
    <w:rPr>
      <w:rFonts w:ascii="Verdana" w:eastAsia="Times New Roman" w:hAnsi="Verdana" w:cs="Verdana"/>
      <w:color w:val="000000"/>
      <w:sz w:val="18"/>
      <w:szCs w:val="24"/>
      <w:lang w:val="en-US" w:eastAsia="en-US"/>
    </w:rPr>
  </w:style>
  <w:style w:type="character" w:customStyle="1" w:styleId="ResourceHistoryDescChar">
    <w:name w:val="Resource History Desc Char"/>
    <w:link w:val="ResourceHistoryDesc"/>
    <w:rsid w:val="006F749D"/>
    <w:rPr>
      <w:rFonts w:ascii="Verdana" w:eastAsia="Times New Roman" w:hAnsi="Verdana" w:cs="Verdana"/>
      <w:color w:val="000000"/>
      <w:sz w:val="18"/>
      <w:szCs w:val="24"/>
      <w:lang w:val="en-US" w:eastAsia="en-US"/>
    </w:rPr>
  </w:style>
  <w:style w:type="paragraph" w:customStyle="1" w:styleId="ResourceHistoryTitle">
    <w:name w:val="Resource History Title"/>
    <w:link w:val="ResourceHistoryTitleChar"/>
    <w:rsid w:val="006F749D"/>
    <w:pPr>
      <w:spacing w:after="120" w:line="240" w:lineRule="auto"/>
    </w:pPr>
    <w:rPr>
      <w:rFonts w:ascii="Arial" w:eastAsia="Arial Unicode MS" w:hAnsi="Arial" w:cs="Arial"/>
      <w:b/>
      <w:bCs/>
      <w:color w:val="000000"/>
      <w:sz w:val="24"/>
      <w:lang w:val="en-US" w:eastAsia="en-US"/>
    </w:rPr>
  </w:style>
  <w:style w:type="character" w:customStyle="1" w:styleId="ResourceHistoryTitleChar">
    <w:name w:val="Resource History Title Char"/>
    <w:link w:val="ResourceHistoryTitle"/>
    <w:rsid w:val="006F749D"/>
    <w:rPr>
      <w:rFonts w:ascii="Arial" w:eastAsia="Arial Unicode MS" w:hAnsi="Arial" w:cs="Arial"/>
      <w:b/>
      <w:bCs/>
      <w:color w:val="000000"/>
      <w:sz w:val="24"/>
      <w:lang w:val="en-US" w:eastAsia="en-US"/>
    </w:rPr>
  </w:style>
  <w:style w:type="paragraph" w:customStyle="1" w:styleId="ResourceType">
    <w:name w:val="Resource Type"/>
    <w:link w:val="ResourceTypeChar"/>
    <w:rsid w:val="006F749D"/>
    <w:pPr>
      <w:spacing w:after="120" w:line="240" w:lineRule="auto"/>
    </w:pPr>
    <w:rPr>
      <w:rFonts w:ascii="Arial" w:eastAsia="Arial Unicode MS" w:hAnsi="Arial" w:cs="Arial"/>
      <w:color w:val="000000"/>
      <w:sz w:val="24"/>
      <w:szCs w:val="24"/>
      <w:lang w:val="en-US" w:eastAsia="en-US"/>
    </w:rPr>
  </w:style>
  <w:style w:type="character" w:customStyle="1" w:styleId="ResourceTypeChar">
    <w:name w:val="Resource Type Char"/>
    <w:link w:val="ResourceType"/>
    <w:rsid w:val="006F749D"/>
    <w:rPr>
      <w:rFonts w:ascii="Arial" w:eastAsia="Arial Unicode MS" w:hAnsi="Arial" w:cs="Arial"/>
      <w:color w:val="000000"/>
      <w:sz w:val="24"/>
      <w:szCs w:val="24"/>
      <w:lang w:val="en-US" w:eastAsia="en-US"/>
    </w:rPr>
  </w:style>
  <w:style w:type="paragraph" w:customStyle="1" w:styleId="ScheduleHeading-Single">
    <w:name w:val="Schedule Heading - Single"/>
    <w:aliases w:val="Sch   main head inc single"/>
    <w:basedOn w:val="Normal"/>
    <w:next w:val="Normal"/>
    <w:rsid w:val="006F749D"/>
    <w:pPr>
      <w:numPr>
        <w:numId w:val="6"/>
      </w:numPr>
      <w:spacing w:before="240" w:after="360" w:line="300" w:lineRule="atLeast"/>
      <w:jc w:val="both"/>
    </w:pPr>
    <w:rPr>
      <w:rFonts w:ascii="Arial" w:eastAsia="Arial Unicode MS" w:hAnsi="Arial" w:cs="Arial"/>
      <w:b/>
      <w:color w:val="000000"/>
      <w:kern w:val="28"/>
      <w:szCs w:val="20"/>
    </w:rPr>
  </w:style>
  <w:style w:type="paragraph" w:customStyle="1" w:styleId="ScheduleHeading">
    <w:name w:val="Schedule Heading"/>
    <w:aliases w:val="Sch   main head"/>
    <w:basedOn w:val="Normal"/>
    <w:next w:val="Normal"/>
    <w:autoRedefine/>
    <w:rsid w:val="006F749D"/>
    <w:pPr>
      <w:keepNext/>
      <w:pageBreakBefore/>
      <w:numPr>
        <w:numId w:val="7"/>
      </w:numPr>
      <w:spacing w:before="240" w:after="360" w:line="300" w:lineRule="atLeast"/>
      <w:jc w:val="center"/>
      <w:outlineLvl w:val="0"/>
    </w:pPr>
    <w:rPr>
      <w:rFonts w:ascii="Arial" w:eastAsia="Arial Unicode MS" w:hAnsi="Arial" w:cs="Arial"/>
      <w:b/>
      <w:color w:val="000000"/>
      <w:kern w:val="28"/>
      <w:szCs w:val="20"/>
    </w:rPr>
  </w:style>
  <w:style w:type="paragraph" w:customStyle="1" w:styleId="SectionHeading">
    <w:name w:val="Section Heading"/>
    <w:aliases w:val="1stIntroHeadings"/>
    <w:basedOn w:val="Normal"/>
    <w:next w:val="Normal"/>
    <w:rsid w:val="006F749D"/>
    <w:pPr>
      <w:tabs>
        <w:tab w:val="left" w:pos="709"/>
      </w:tabs>
      <w:spacing w:before="120" w:after="120" w:line="300" w:lineRule="atLeast"/>
      <w:jc w:val="both"/>
    </w:pPr>
    <w:rPr>
      <w:rFonts w:ascii="Arial" w:eastAsia="Arial Unicode MS" w:hAnsi="Arial" w:cs="Arial"/>
      <w:b/>
      <w:smallCaps/>
      <w:color w:val="000000"/>
      <w:szCs w:val="20"/>
    </w:rPr>
  </w:style>
  <w:style w:type="paragraph" w:customStyle="1" w:styleId="Shortquestion">
    <w:name w:val="Shortquestion"/>
    <w:basedOn w:val="Normal"/>
    <w:rsid w:val="006F749D"/>
    <w:pPr>
      <w:spacing w:after="120" w:line="300" w:lineRule="atLeast"/>
      <w:jc w:val="both"/>
    </w:pPr>
    <w:rPr>
      <w:rFonts w:ascii="Arial" w:eastAsia="Arial Unicode MS" w:hAnsi="Arial" w:cs="Arial"/>
      <w:color w:val="000000"/>
      <w:szCs w:val="20"/>
    </w:rPr>
  </w:style>
  <w:style w:type="paragraph" w:customStyle="1" w:styleId="SpeedreadPara">
    <w:name w:val="Speedread Para"/>
    <w:basedOn w:val="Normal"/>
    <w:rsid w:val="006F749D"/>
    <w:pPr>
      <w:spacing w:after="120" w:line="300" w:lineRule="atLeast"/>
      <w:jc w:val="both"/>
    </w:pPr>
    <w:rPr>
      <w:rFonts w:ascii="Arial" w:eastAsia="Arial Unicode MS" w:hAnsi="Arial" w:cs="Arial"/>
      <w:color w:val="000000"/>
      <w:szCs w:val="20"/>
    </w:rPr>
  </w:style>
  <w:style w:type="paragraph" w:customStyle="1" w:styleId="SpeedreadSection1Para">
    <w:name w:val="Speedread Section1 Para"/>
    <w:basedOn w:val="Normal"/>
    <w:rsid w:val="006F749D"/>
    <w:pPr>
      <w:spacing w:after="120" w:line="300" w:lineRule="atLeast"/>
      <w:jc w:val="both"/>
    </w:pPr>
    <w:rPr>
      <w:rFonts w:ascii="Arial" w:eastAsia="Arial Unicode MS" w:hAnsi="Arial" w:cs="Arial"/>
      <w:color w:val="000000"/>
      <w:szCs w:val="20"/>
    </w:rPr>
  </w:style>
  <w:style w:type="paragraph" w:customStyle="1" w:styleId="SpeedreadSection1Text">
    <w:name w:val="Speedread Section1 Text"/>
    <w:basedOn w:val="Normal"/>
    <w:rsid w:val="006F749D"/>
    <w:pPr>
      <w:spacing w:after="120" w:line="300" w:lineRule="atLeast"/>
      <w:jc w:val="both"/>
    </w:pPr>
    <w:rPr>
      <w:rFonts w:ascii="Arial" w:eastAsia="Arial Unicode MS" w:hAnsi="Arial" w:cs="Arial"/>
      <w:color w:val="000000"/>
      <w:szCs w:val="20"/>
    </w:rPr>
  </w:style>
  <w:style w:type="paragraph" w:customStyle="1" w:styleId="SpeedreadText">
    <w:name w:val="Speedread Text"/>
    <w:basedOn w:val="Normal"/>
    <w:rsid w:val="006F749D"/>
    <w:pPr>
      <w:spacing w:after="120" w:line="300" w:lineRule="atLeast"/>
      <w:jc w:val="both"/>
    </w:pPr>
    <w:rPr>
      <w:rFonts w:ascii="Arial" w:eastAsia="Arial Unicode MS" w:hAnsi="Arial" w:cs="Arial"/>
      <w:color w:val="000000"/>
      <w:szCs w:val="20"/>
    </w:rPr>
  </w:style>
  <w:style w:type="paragraph" w:customStyle="1" w:styleId="SpeedreadTitle">
    <w:name w:val="Speedread Title"/>
    <w:basedOn w:val="Normal"/>
    <w:rsid w:val="006F749D"/>
    <w:pPr>
      <w:spacing w:after="120" w:line="300" w:lineRule="atLeast"/>
      <w:jc w:val="both"/>
    </w:pPr>
    <w:rPr>
      <w:rFonts w:ascii="Arial" w:eastAsia="Arial Unicode MS" w:hAnsi="Arial" w:cs="Arial"/>
      <w:b/>
      <w:color w:val="000000"/>
      <w:sz w:val="36"/>
      <w:szCs w:val="20"/>
    </w:rPr>
  </w:style>
  <w:style w:type="paragraph" w:customStyle="1" w:styleId="TemplateType">
    <w:name w:val="Template Type"/>
    <w:link w:val="TemplateTypeChar"/>
    <w:rsid w:val="006F749D"/>
    <w:pPr>
      <w:spacing w:after="120" w:line="240" w:lineRule="auto"/>
    </w:pPr>
    <w:rPr>
      <w:rFonts w:ascii="Arial" w:eastAsia="Arial Unicode MS" w:hAnsi="Arial" w:cs="Arial"/>
      <w:color w:val="000000"/>
      <w:sz w:val="24"/>
      <w:szCs w:val="24"/>
      <w:lang w:val="en-US" w:eastAsia="en-US"/>
    </w:rPr>
  </w:style>
  <w:style w:type="character" w:customStyle="1" w:styleId="TemplateTypeChar">
    <w:name w:val="Template Type Char"/>
    <w:link w:val="TemplateType"/>
    <w:rsid w:val="006F749D"/>
    <w:rPr>
      <w:rFonts w:ascii="Arial" w:eastAsia="Arial Unicode MS" w:hAnsi="Arial" w:cs="Arial"/>
      <w:color w:val="000000"/>
      <w:sz w:val="24"/>
      <w:szCs w:val="24"/>
      <w:lang w:val="en-US" w:eastAsia="en-US"/>
    </w:rPr>
  </w:style>
  <w:style w:type="paragraph" w:styleId="Title">
    <w:name w:val="Title"/>
    <w:link w:val="TitleChar"/>
    <w:rsid w:val="006F749D"/>
    <w:pPr>
      <w:spacing w:after="120" w:line="240" w:lineRule="auto"/>
    </w:pPr>
    <w:rPr>
      <w:rFonts w:ascii="Arial" w:eastAsia="Arial Unicode MS" w:hAnsi="Arial" w:cs="Arial"/>
      <w:color w:val="000000"/>
      <w:sz w:val="24"/>
      <w:lang w:val="en-US" w:eastAsia="en-US"/>
    </w:rPr>
  </w:style>
  <w:style w:type="character" w:customStyle="1" w:styleId="TitleChar">
    <w:name w:val="Title Char"/>
    <w:link w:val="Title"/>
    <w:rsid w:val="006F749D"/>
    <w:rPr>
      <w:rFonts w:ascii="Arial" w:eastAsia="Arial Unicode MS" w:hAnsi="Arial" w:cs="Arial"/>
      <w:color w:val="000000"/>
      <w:sz w:val="24"/>
      <w:lang w:val="en-US" w:eastAsia="en-US"/>
    </w:rPr>
  </w:style>
  <w:style w:type="paragraph" w:styleId="Footer">
    <w:name w:val="footer"/>
    <w:basedOn w:val="Normal"/>
    <w:link w:val="FooterChar"/>
    <w:rsid w:val="006F749D"/>
    <w:pPr>
      <w:tabs>
        <w:tab w:val="center" w:pos="4153"/>
        <w:tab w:val="right" w:pos="8306"/>
      </w:tabs>
      <w:spacing w:after="240" w:line="300" w:lineRule="atLeast"/>
      <w:jc w:val="both"/>
    </w:pPr>
    <w:rPr>
      <w:rFonts w:ascii="Times New Roman" w:eastAsia="Times New Roman" w:hAnsi="Times New Roman" w:cs="Times New Roman"/>
      <w:color w:val="000000"/>
      <w:szCs w:val="20"/>
    </w:rPr>
  </w:style>
  <w:style w:type="character" w:customStyle="1" w:styleId="FooterChar">
    <w:name w:val="Footer Char"/>
    <w:basedOn w:val="DefaultParagraphFont"/>
    <w:link w:val="Footer"/>
    <w:rsid w:val="006F749D"/>
    <w:rPr>
      <w:rFonts w:ascii="Times New Roman" w:eastAsia="Times New Roman" w:hAnsi="Times New Roman" w:cs="Times New Roman"/>
      <w:color w:val="000000"/>
      <w:szCs w:val="20"/>
      <w:lang w:eastAsia="en-US"/>
    </w:rPr>
  </w:style>
  <w:style w:type="character" w:styleId="Hyperlink">
    <w:name w:val="Hyperlink"/>
    <w:basedOn w:val="DefaultParagraphFont"/>
    <w:uiPriority w:val="99"/>
    <w:rsid w:val="006F749D"/>
    <w:rPr>
      <w:i/>
      <w:color w:val="000000"/>
      <w:u w:val="single"/>
    </w:rPr>
  </w:style>
  <w:style w:type="paragraph" w:customStyle="1" w:styleId="Bullet4">
    <w:name w:val="Bullet4"/>
    <w:basedOn w:val="Normal"/>
    <w:rsid w:val="006F749D"/>
    <w:pPr>
      <w:numPr>
        <w:numId w:val="8"/>
      </w:numPr>
      <w:spacing w:after="240" w:line="240" w:lineRule="auto"/>
      <w:jc w:val="both"/>
    </w:pPr>
    <w:rPr>
      <w:rFonts w:ascii="Times New Roman" w:eastAsia="Times New Roman" w:hAnsi="Times New Roman" w:cs="Times New Roman"/>
      <w:color w:val="000000"/>
      <w:szCs w:val="20"/>
    </w:rPr>
  </w:style>
  <w:style w:type="paragraph" w:customStyle="1" w:styleId="Paragraph">
    <w:name w:val="Paragraph"/>
    <w:basedOn w:val="Normal"/>
    <w:link w:val="ParagraphChar"/>
    <w:qFormat/>
    <w:rsid w:val="006F749D"/>
    <w:pPr>
      <w:spacing w:after="120" w:line="300" w:lineRule="atLeast"/>
      <w:jc w:val="both"/>
    </w:pPr>
    <w:rPr>
      <w:rFonts w:ascii="Arial" w:eastAsia="Arial Unicode MS" w:hAnsi="Arial" w:cs="Arial"/>
      <w:color w:val="000000"/>
      <w:szCs w:val="20"/>
    </w:rPr>
  </w:style>
  <w:style w:type="paragraph" w:customStyle="1" w:styleId="IgnoredTemplateText">
    <w:name w:val="Ignored Template Text"/>
    <w:link w:val="IgnoredTemplateTextChar"/>
    <w:rsid w:val="006F749D"/>
    <w:pPr>
      <w:pBdr>
        <w:top w:val="single" w:sz="4" w:space="1" w:color="auto"/>
        <w:left w:val="single" w:sz="4" w:space="4" w:color="auto"/>
        <w:bottom w:val="single" w:sz="4" w:space="1" w:color="auto"/>
        <w:right w:val="single" w:sz="4" w:space="4" w:color="auto"/>
      </w:pBdr>
      <w:shd w:val="pct15" w:color="auto" w:fill="FBD4B4" w:themeFill="accent6" w:themeFillTint="66"/>
      <w:spacing w:after="120" w:line="240" w:lineRule="auto"/>
    </w:pPr>
    <w:rPr>
      <w:rFonts w:ascii="Arial" w:eastAsia="Arial Unicode MS" w:hAnsi="Arial" w:cs="Arial"/>
      <w:b/>
      <w:i/>
      <w:color w:val="000000"/>
      <w:szCs w:val="18"/>
      <w:lang w:val="en-US" w:eastAsia="en-US"/>
    </w:rPr>
  </w:style>
  <w:style w:type="character" w:customStyle="1" w:styleId="IgnoredTemplateTextChar">
    <w:name w:val="Ignored Template Text Char"/>
    <w:link w:val="IgnoredTemplateText"/>
    <w:rsid w:val="006F749D"/>
    <w:rPr>
      <w:rFonts w:ascii="Arial" w:eastAsia="Arial Unicode MS" w:hAnsi="Arial" w:cs="Arial"/>
      <w:b/>
      <w:i/>
      <w:color w:val="000000"/>
      <w:szCs w:val="18"/>
      <w:shd w:val="pct15" w:color="auto" w:fill="FBD4B4" w:themeFill="accent6" w:themeFillTint="66"/>
      <w:lang w:val="en-US" w:eastAsia="en-US"/>
    </w:rPr>
  </w:style>
  <w:style w:type="paragraph" w:customStyle="1" w:styleId="InternalTOC">
    <w:name w:val="Internal TOC"/>
    <w:rsid w:val="006F749D"/>
    <w:pPr>
      <w:spacing w:after="120" w:line="240" w:lineRule="auto"/>
    </w:pPr>
    <w:rPr>
      <w:rFonts w:ascii="Arial" w:eastAsia="Arial Unicode MS" w:hAnsi="Arial" w:cs="Arial"/>
      <w:color w:val="000000"/>
      <w:lang w:val="en-US" w:eastAsia="en-US"/>
    </w:rPr>
  </w:style>
  <w:style w:type="paragraph" w:customStyle="1" w:styleId="HeadingLevel1">
    <w:name w:val="Heading Level 1"/>
    <w:basedOn w:val="Normal"/>
    <w:next w:val="Paragraph"/>
    <w:rsid w:val="006F749D"/>
    <w:pPr>
      <w:keepNext/>
      <w:spacing w:after="120" w:line="300" w:lineRule="atLeast"/>
      <w:jc w:val="both"/>
      <w:outlineLvl w:val="1"/>
    </w:pPr>
    <w:rPr>
      <w:rFonts w:ascii="Arial" w:eastAsia="Arial Unicode MS" w:hAnsi="Arial" w:cs="Arial"/>
      <w:b/>
      <w:color w:val="000000"/>
      <w:sz w:val="36"/>
      <w:szCs w:val="20"/>
    </w:rPr>
  </w:style>
  <w:style w:type="paragraph" w:customStyle="1" w:styleId="HeadingLevel2">
    <w:name w:val="Heading Level 2"/>
    <w:basedOn w:val="Normal"/>
    <w:next w:val="Paragraph"/>
    <w:rsid w:val="006F749D"/>
    <w:pPr>
      <w:keepNext/>
      <w:spacing w:after="120" w:line="300" w:lineRule="atLeast"/>
      <w:jc w:val="both"/>
      <w:outlineLvl w:val="2"/>
    </w:pPr>
    <w:rPr>
      <w:rFonts w:ascii="Arial" w:eastAsia="Arial Unicode MS" w:hAnsi="Arial" w:cs="Arial"/>
      <w:b/>
      <w:color w:val="000000"/>
      <w:sz w:val="28"/>
      <w:szCs w:val="20"/>
    </w:rPr>
  </w:style>
  <w:style w:type="paragraph" w:customStyle="1" w:styleId="HeadingLevel3">
    <w:name w:val="Heading Level 3"/>
    <w:basedOn w:val="Normal"/>
    <w:next w:val="Paragraph"/>
    <w:rsid w:val="006F749D"/>
    <w:pPr>
      <w:keepNext/>
      <w:spacing w:after="120" w:line="300" w:lineRule="atLeast"/>
      <w:jc w:val="both"/>
      <w:outlineLvl w:val="3"/>
    </w:pPr>
    <w:rPr>
      <w:rFonts w:ascii="Arial" w:eastAsia="Arial Unicode MS" w:hAnsi="Arial" w:cs="Arial"/>
      <w:b/>
      <w:i/>
      <w:color w:val="000000"/>
      <w:sz w:val="28"/>
      <w:szCs w:val="20"/>
    </w:rPr>
  </w:style>
  <w:style w:type="paragraph" w:styleId="Header">
    <w:name w:val="header"/>
    <w:basedOn w:val="Normal"/>
    <w:link w:val="HeaderChar"/>
    <w:uiPriority w:val="99"/>
    <w:unhideWhenUsed/>
    <w:rsid w:val="006F749D"/>
    <w:pPr>
      <w:tabs>
        <w:tab w:val="center" w:pos="4513"/>
        <w:tab w:val="right" w:pos="9026"/>
      </w:tabs>
      <w:spacing w:after="0" w:line="240" w:lineRule="auto"/>
    </w:pPr>
    <w:rPr>
      <w:color w:val="000000"/>
    </w:rPr>
  </w:style>
  <w:style w:type="character" w:customStyle="1" w:styleId="HeaderChar">
    <w:name w:val="Header Char"/>
    <w:basedOn w:val="DefaultParagraphFont"/>
    <w:link w:val="Header"/>
    <w:uiPriority w:val="99"/>
    <w:rsid w:val="006F749D"/>
    <w:rPr>
      <w:color w:val="000000"/>
    </w:rPr>
  </w:style>
  <w:style w:type="character" w:styleId="PlaceholderText">
    <w:name w:val="Placeholder Text"/>
    <w:basedOn w:val="DefaultParagraphFont"/>
    <w:uiPriority w:val="99"/>
    <w:rsid w:val="006F749D"/>
    <w:rPr>
      <w:color w:val="000000"/>
    </w:rPr>
  </w:style>
  <w:style w:type="paragraph" w:styleId="BalloonText">
    <w:name w:val="Balloon Text"/>
    <w:basedOn w:val="Normal"/>
    <w:link w:val="BalloonTextChar"/>
    <w:uiPriority w:val="99"/>
    <w:semiHidden/>
    <w:unhideWhenUsed/>
    <w:rsid w:val="006F749D"/>
    <w:pPr>
      <w:spacing w:after="0" w:line="240" w:lineRule="auto"/>
    </w:pPr>
    <w:rPr>
      <w:rFonts w:ascii="Tahoma" w:hAnsi="Tahoma" w:cs="Tahoma"/>
      <w:color w:val="000000"/>
      <w:sz w:val="16"/>
      <w:szCs w:val="16"/>
    </w:rPr>
  </w:style>
  <w:style w:type="character" w:customStyle="1" w:styleId="BalloonTextChar">
    <w:name w:val="Balloon Text Char"/>
    <w:basedOn w:val="DefaultParagraphFont"/>
    <w:link w:val="BalloonText"/>
    <w:uiPriority w:val="99"/>
    <w:semiHidden/>
    <w:rsid w:val="006F749D"/>
    <w:rPr>
      <w:rFonts w:ascii="Tahoma" w:hAnsi="Tahoma" w:cs="Tahoma"/>
      <w:color w:val="000000"/>
      <w:sz w:val="16"/>
      <w:szCs w:val="16"/>
    </w:rPr>
  </w:style>
  <w:style w:type="paragraph" w:customStyle="1" w:styleId="PinPointRef">
    <w:name w:val="PinPoint Ref"/>
    <w:link w:val="PinPointRefChar"/>
    <w:qFormat/>
    <w:rsid w:val="006F749D"/>
    <w:pPr>
      <w:spacing w:after="0" w:line="240" w:lineRule="auto"/>
    </w:pPr>
    <w:rPr>
      <w:rFonts w:ascii="Times New Roman" w:eastAsia="Times New Roman" w:hAnsi="Times New Roman" w:cs="Times New Roman"/>
      <w:b/>
      <w:vanish/>
      <w:color w:val="000000"/>
      <w:sz w:val="18"/>
      <w:szCs w:val="20"/>
      <w:lang w:eastAsia="en-US"/>
    </w:rPr>
  </w:style>
  <w:style w:type="character" w:customStyle="1" w:styleId="PinPointRefChar">
    <w:name w:val="PinPoint Ref Char"/>
    <w:basedOn w:val="DefaultParagraphFont"/>
    <w:link w:val="PinPointRef"/>
    <w:rsid w:val="006F749D"/>
    <w:rPr>
      <w:rFonts w:ascii="Times New Roman" w:eastAsia="Times New Roman" w:hAnsi="Times New Roman" w:cs="Times New Roman"/>
      <w:b/>
      <w:vanish/>
      <w:color w:val="000000"/>
      <w:sz w:val="18"/>
      <w:szCs w:val="20"/>
      <w:lang w:eastAsia="en-US"/>
    </w:rPr>
  </w:style>
  <w:style w:type="paragraph" w:customStyle="1" w:styleId="BlockQuote">
    <w:name w:val="Block Quote"/>
    <w:link w:val="BlockQuoteChar"/>
    <w:qFormat/>
    <w:rsid w:val="006F749D"/>
    <w:pPr>
      <w:spacing w:before="120" w:after="0" w:line="240" w:lineRule="auto"/>
      <w:ind w:left="720"/>
    </w:pPr>
    <w:rPr>
      <w:rFonts w:ascii="Arial" w:eastAsia="Arial Unicode MS" w:hAnsi="Arial" w:cs="Arial"/>
      <w:color w:val="000000"/>
      <w:sz w:val="18"/>
      <w:szCs w:val="20"/>
      <w:lang w:eastAsia="en-US"/>
    </w:rPr>
  </w:style>
  <w:style w:type="character" w:customStyle="1" w:styleId="BlockQuoteChar">
    <w:name w:val="Block Quote Char"/>
    <w:basedOn w:val="DefaultParagraphFont"/>
    <w:link w:val="BlockQuote"/>
    <w:rsid w:val="006F749D"/>
    <w:rPr>
      <w:rFonts w:ascii="Arial" w:eastAsia="Arial Unicode MS" w:hAnsi="Arial" w:cs="Arial"/>
      <w:color w:val="000000"/>
      <w:sz w:val="18"/>
      <w:szCs w:val="20"/>
      <w:lang w:eastAsia="en-US"/>
    </w:rPr>
  </w:style>
  <w:style w:type="paragraph" w:customStyle="1" w:styleId="ListParagraphLevel1">
    <w:name w:val="List Paragraph Level 1"/>
    <w:link w:val="ListParagraphLevel1Char"/>
    <w:rsid w:val="006F749D"/>
    <w:pPr>
      <w:spacing w:after="120" w:line="240" w:lineRule="auto"/>
      <w:ind w:left="357"/>
      <w:jc w:val="both"/>
    </w:pPr>
    <w:rPr>
      <w:rFonts w:ascii="Arial" w:eastAsia="Arial Unicode MS" w:hAnsi="Arial" w:cs="Arial"/>
      <w:color w:val="000000"/>
      <w:szCs w:val="24"/>
      <w:lang w:val="en-US" w:eastAsia="en-US"/>
    </w:rPr>
  </w:style>
  <w:style w:type="paragraph" w:customStyle="1" w:styleId="ListParagraphLevel2">
    <w:name w:val="List Paragraph Level 2"/>
    <w:link w:val="ListParagraphLevel2Char"/>
    <w:qFormat/>
    <w:rsid w:val="006F749D"/>
    <w:pPr>
      <w:spacing w:after="120" w:line="240" w:lineRule="auto"/>
      <w:ind w:left="1077"/>
      <w:jc w:val="both"/>
    </w:pPr>
    <w:rPr>
      <w:rFonts w:ascii="Arial" w:eastAsia="Arial Unicode MS" w:hAnsi="Arial" w:cs="Arial"/>
      <w:color w:val="000000"/>
      <w:szCs w:val="24"/>
      <w:lang w:val="en-US" w:eastAsia="en-US"/>
    </w:rPr>
  </w:style>
  <w:style w:type="character" w:customStyle="1" w:styleId="ListParagraphLevel1Char">
    <w:name w:val="List Paragraph Level 1 Char"/>
    <w:basedOn w:val="DefaultParagraphFont"/>
    <w:link w:val="ListParagraphLevel1"/>
    <w:rsid w:val="006F749D"/>
    <w:rPr>
      <w:rFonts w:ascii="Arial" w:eastAsia="Arial Unicode MS" w:hAnsi="Arial" w:cs="Arial"/>
      <w:color w:val="000000"/>
      <w:szCs w:val="24"/>
      <w:lang w:val="en-US" w:eastAsia="en-US"/>
    </w:rPr>
  </w:style>
  <w:style w:type="character" w:customStyle="1" w:styleId="ListParagraphLevel2Char">
    <w:name w:val="List Paragraph Level 2 Char"/>
    <w:basedOn w:val="DefaultParagraphFont"/>
    <w:link w:val="ListParagraphLevel2"/>
    <w:rsid w:val="006F749D"/>
    <w:rPr>
      <w:rFonts w:ascii="Arial" w:eastAsia="Arial Unicode MS" w:hAnsi="Arial" w:cs="Arial"/>
      <w:color w:val="000000"/>
      <w:szCs w:val="24"/>
      <w:lang w:val="en-US" w:eastAsia="en-US"/>
    </w:rPr>
  </w:style>
  <w:style w:type="paragraph" w:customStyle="1" w:styleId="IntroDefault">
    <w:name w:val="Intro Default"/>
    <w:basedOn w:val="Paragraph"/>
    <w:qFormat/>
    <w:rsid w:val="006F749D"/>
  </w:style>
  <w:style w:type="paragraph" w:customStyle="1" w:styleId="IntroCustom">
    <w:name w:val="Intro Custom"/>
    <w:basedOn w:val="Paragraph"/>
    <w:qFormat/>
    <w:rsid w:val="006F749D"/>
  </w:style>
  <w:style w:type="paragraph" w:customStyle="1" w:styleId="PrecedentType">
    <w:name w:val="Precedent Type"/>
    <w:basedOn w:val="IgnoredSpacing"/>
    <w:qFormat/>
    <w:rsid w:val="006F749D"/>
  </w:style>
  <w:style w:type="paragraph" w:customStyle="1" w:styleId="Operative">
    <w:name w:val="Operative"/>
    <w:basedOn w:val="IgnoredSpacing"/>
    <w:qFormat/>
    <w:rsid w:val="006F749D"/>
    <w:rPr>
      <w:vanish/>
    </w:rPr>
  </w:style>
  <w:style w:type="paragraph" w:customStyle="1" w:styleId="SpeedreadBulletList1">
    <w:name w:val="Speedread Bullet List 1"/>
    <w:basedOn w:val="BulletList1"/>
    <w:qFormat/>
    <w:rsid w:val="006F749D"/>
  </w:style>
  <w:style w:type="paragraph" w:customStyle="1" w:styleId="PartiesTitle">
    <w:name w:val="Parties Title"/>
    <w:basedOn w:val="Paragraph"/>
    <w:qFormat/>
    <w:rsid w:val="006F749D"/>
    <w:rPr>
      <w:b/>
    </w:rPr>
  </w:style>
  <w:style w:type="table" w:styleId="TableGrid">
    <w:name w:val="Table Grid"/>
    <w:basedOn w:val="TableNormal"/>
    <w:rsid w:val="006F749D"/>
    <w:pPr>
      <w:spacing w:after="0" w:line="240" w:lineRule="auto"/>
    </w:pPr>
    <w:rPr>
      <w:color w:val="00000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QuestionParagraph">
    <w:name w:val="Question Paragraph"/>
    <w:link w:val="QuestionParagraphChar"/>
    <w:qFormat/>
    <w:rsid w:val="006F749D"/>
    <w:pPr>
      <w:numPr>
        <w:numId w:val="9"/>
      </w:numPr>
      <w:shd w:val="clear" w:color="auto" w:fill="D9D9D9" w:themeFill="background1" w:themeFillShade="D9"/>
      <w:spacing w:after="120" w:line="240" w:lineRule="auto"/>
      <w:ind w:left="357" w:hanging="357"/>
      <w:outlineLvl w:val="0"/>
    </w:pPr>
    <w:rPr>
      <w:rFonts w:ascii="Arial" w:eastAsia="Arial Unicode MS" w:hAnsi="Arial" w:cs="Arial"/>
      <w:color w:val="000000"/>
      <w:lang w:val="en-US" w:eastAsia="en-US"/>
    </w:rPr>
  </w:style>
  <w:style w:type="paragraph" w:customStyle="1" w:styleId="BulletList1Pattern">
    <w:name w:val="Bullet List 1 + Pattern"/>
    <w:basedOn w:val="BulletList1"/>
    <w:qFormat/>
    <w:rsid w:val="006F749D"/>
    <w:pPr>
      <w:shd w:val="clear" w:color="auto" w:fill="D9D9D9" w:themeFill="background1" w:themeFillShade="D9"/>
      <w:spacing w:after="120" w:line="240" w:lineRule="auto"/>
      <w:ind w:left="714" w:hanging="357"/>
    </w:pPr>
  </w:style>
  <w:style w:type="character" w:customStyle="1" w:styleId="QuestionParagraphChar">
    <w:name w:val="Question Paragraph Char"/>
    <w:basedOn w:val="DefaultParagraphFont"/>
    <w:link w:val="QuestionParagraph"/>
    <w:rsid w:val="006F749D"/>
    <w:rPr>
      <w:rFonts w:ascii="Arial" w:eastAsia="Arial Unicode MS" w:hAnsi="Arial" w:cs="Arial"/>
      <w:color w:val="000000"/>
      <w:shd w:val="clear" w:color="auto" w:fill="D9D9D9" w:themeFill="background1" w:themeFillShade="D9"/>
      <w:lang w:val="en-US" w:eastAsia="en-US"/>
    </w:rPr>
  </w:style>
  <w:style w:type="paragraph" w:customStyle="1" w:styleId="BulletList2Pattern">
    <w:name w:val="Bullet List 2 + Pattern"/>
    <w:basedOn w:val="BulletList2"/>
    <w:qFormat/>
    <w:rsid w:val="006F749D"/>
    <w:pPr>
      <w:shd w:val="clear" w:color="auto" w:fill="D9D9D9" w:themeFill="background1" w:themeFillShade="D9"/>
      <w:ind w:left="1077"/>
    </w:pPr>
  </w:style>
  <w:style w:type="paragraph" w:customStyle="1" w:styleId="TestimoniumContract">
    <w:name w:val="Testimonium Contract"/>
    <w:basedOn w:val="Paragraph"/>
    <w:qFormat/>
    <w:rsid w:val="006F749D"/>
  </w:style>
  <w:style w:type="paragraph" w:customStyle="1" w:styleId="TestimoniumDeed">
    <w:name w:val="Testimonium Deed"/>
    <w:basedOn w:val="Paragraph"/>
    <w:qFormat/>
    <w:rsid w:val="006F749D"/>
  </w:style>
  <w:style w:type="paragraph" w:customStyle="1" w:styleId="Titlesubclause2">
    <w:name w:val="Title subclause2"/>
    <w:basedOn w:val="Untitledsubclause2"/>
    <w:qFormat/>
    <w:rsid w:val="006F749D"/>
    <w:rPr>
      <w:b/>
    </w:rPr>
  </w:style>
  <w:style w:type="paragraph" w:customStyle="1" w:styleId="Titlesubclause3">
    <w:name w:val="Title subclause3"/>
    <w:basedOn w:val="Untitledsubclause3"/>
    <w:qFormat/>
    <w:rsid w:val="006F749D"/>
    <w:rPr>
      <w:b/>
    </w:rPr>
  </w:style>
  <w:style w:type="paragraph" w:customStyle="1" w:styleId="Titlesubclause4">
    <w:name w:val="Title subclause4"/>
    <w:basedOn w:val="Untitledsubclause4"/>
    <w:qFormat/>
    <w:rsid w:val="006F749D"/>
    <w:rPr>
      <w:b/>
    </w:rPr>
  </w:style>
  <w:style w:type="paragraph" w:customStyle="1" w:styleId="UntitledClause">
    <w:name w:val="Untitled Clause"/>
    <w:basedOn w:val="TitleClause"/>
    <w:qFormat/>
    <w:rsid w:val="006F749D"/>
    <w:pPr>
      <w:spacing w:before="120"/>
    </w:pPr>
    <w:rPr>
      <w:b w:val="0"/>
    </w:rPr>
  </w:style>
  <w:style w:type="paragraph" w:customStyle="1" w:styleId="Titlesubclause1">
    <w:name w:val="Title subclause1"/>
    <w:basedOn w:val="Untitledsubclause1"/>
    <w:qFormat/>
    <w:rsid w:val="006F749D"/>
    <w:pPr>
      <w:spacing w:before="120"/>
    </w:pPr>
    <w:rPr>
      <w:b/>
    </w:rPr>
  </w:style>
  <w:style w:type="paragraph" w:customStyle="1" w:styleId="Schedule">
    <w:name w:val="Schedule"/>
    <w:qFormat/>
    <w:rsid w:val="006F749D"/>
    <w:pPr>
      <w:numPr>
        <w:numId w:val="22"/>
      </w:numPr>
      <w:spacing w:before="240" w:after="240" w:line="240" w:lineRule="atLeast"/>
    </w:pPr>
    <w:rPr>
      <w:rFonts w:ascii="Arial" w:eastAsia="Arial Unicode MS" w:hAnsi="Arial" w:cs="Arial"/>
      <w:b/>
      <w:color w:val="000000"/>
      <w:lang w:val="en-US" w:eastAsia="en-US"/>
    </w:rPr>
  </w:style>
  <w:style w:type="character" w:customStyle="1" w:styleId="Heading1Char">
    <w:name w:val="Heading 1 Char"/>
    <w:basedOn w:val="DefaultParagraphFont"/>
    <w:link w:val="Heading1"/>
    <w:uiPriority w:val="9"/>
    <w:rsid w:val="006F749D"/>
    <w:rPr>
      <w:rFonts w:asciiTheme="majorHAnsi" w:eastAsiaTheme="majorEastAsia" w:hAnsiTheme="majorHAnsi" w:cstheme="majorBidi"/>
      <w:b/>
      <w:bCs/>
      <w:color w:val="000000"/>
      <w:sz w:val="28"/>
      <w:szCs w:val="28"/>
    </w:rPr>
  </w:style>
  <w:style w:type="character" w:customStyle="1" w:styleId="Heading2Char">
    <w:name w:val="Heading 2 Char"/>
    <w:basedOn w:val="DefaultParagraphFont"/>
    <w:link w:val="Heading2"/>
    <w:uiPriority w:val="9"/>
    <w:semiHidden/>
    <w:rsid w:val="006F749D"/>
    <w:rPr>
      <w:rFonts w:asciiTheme="majorHAnsi" w:eastAsiaTheme="majorEastAsia" w:hAnsiTheme="majorHAnsi" w:cstheme="majorBidi"/>
      <w:b/>
      <w:bCs/>
      <w:color w:val="000000"/>
      <w:sz w:val="26"/>
      <w:szCs w:val="26"/>
    </w:rPr>
  </w:style>
  <w:style w:type="character" w:customStyle="1" w:styleId="Heading3Char">
    <w:name w:val="Heading 3 Char"/>
    <w:basedOn w:val="DefaultParagraphFont"/>
    <w:link w:val="Heading3"/>
    <w:uiPriority w:val="9"/>
    <w:semiHidden/>
    <w:rsid w:val="006F749D"/>
    <w:rPr>
      <w:rFonts w:asciiTheme="majorHAnsi" w:eastAsiaTheme="majorEastAsia" w:hAnsiTheme="majorHAnsi" w:cstheme="majorBidi"/>
      <w:b/>
      <w:bCs/>
      <w:color w:val="000000"/>
    </w:rPr>
  </w:style>
  <w:style w:type="character" w:customStyle="1" w:styleId="Heading4Char">
    <w:name w:val="Heading 4 Char"/>
    <w:basedOn w:val="DefaultParagraphFont"/>
    <w:link w:val="Heading4"/>
    <w:uiPriority w:val="9"/>
    <w:semiHidden/>
    <w:rsid w:val="006F749D"/>
    <w:rPr>
      <w:rFonts w:asciiTheme="majorHAnsi" w:eastAsiaTheme="majorEastAsia" w:hAnsiTheme="majorHAnsi" w:cstheme="majorBidi"/>
      <w:b/>
      <w:bCs/>
      <w:i/>
      <w:iCs/>
      <w:color w:val="000000"/>
    </w:rPr>
  </w:style>
  <w:style w:type="character" w:customStyle="1" w:styleId="Heading5Char">
    <w:name w:val="Heading 5 Char"/>
    <w:basedOn w:val="DefaultParagraphFont"/>
    <w:link w:val="Heading5"/>
    <w:uiPriority w:val="9"/>
    <w:semiHidden/>
    <w:rsid w:val="006F749D"/>
    <w:rPr>
      <w:rFonts w:asciiTheme="majorHAnsi" w:eastAsiaTheme="majorEastAsia" w:hAnsiTheme="majorHAnsi" w:cstheme="majorBidi"/>
      <w:color w:val="000000"/>
    </w:rPr>
  </w:style>
  <w:style w:type="character" w:customStyle="1" w:styleId="Heading6Char">
    <w:name w:val="Heading 6 Char"/>
    <w:basedOn w:val="DefaultParagraphFont"/>
    <w:link w:val="Heading6"/>
    <w:uiPriority w:val="9"/>
    <w:semiHidden/>
    <w:rsid w:val="006F749D"/>
    <w:rPr>
      <w:rFonts w:asciiTheme="majorHAnsi" w:eastAsiaTheme="majorEastAsia" w:hAnsiTheme="majorHAnsi" w:cstheme="majorBidi"/>
      <w:i/>
      <w:iCs/>
      <w:color w:val="000000"/>
    </w:rPr>
  </w:style>
  <w:style w:type="character" w:customStyle="1" w:styleId="Heading7Char">
    <w:name w:val="Heading 7 Char"/>
    <w:basedOn w:val="DefaultParagraphFont"/>
    <w:link w:val="Heading7"/>
    <w:uiPriority w:val="9"/>
    <w:semiHidden/>
    <w:rsid w:val="006F749D"/>
    <w:rPr>
      <w:rFonts w:asciiTheme="majorHAnsi" w:eastAsiaTheme="majorEastAsia" w:hAnsiTheme="majorHAnsi" w:cstheme="majorBidi"/>
      <w:i/>
      <w:iCs/>
      <w:color w:val="000000"/>
    </w:rPr>
  </w:style>
  <w:style w:type="character" w:customStyle="1" w:styleId="Heading8Char">
    <w:name w:val="Heading 8 Char"/>
    <w:basedOn w:val="DefaultParagraphFont"/>
    <w:link w:val="Heading8"/>
    <w:uiPriority w:val="9"/>
    <w:semiHidden/>
    <w:rsid w:val="006F749D"/>
    <w:rPr>
      <w:rFonts w:asciiTheme="majorHAnsi" w:eastAsiaTheme="majorEastAsia" w:hAnsiTheme="majorHAnsi" w:cstheme="majorBidi"/>
      <w:color w:val="000000"/>
      <w:sz w:val="20"/>
      <w:szCs w:val="20"/>
    </w:rPr>
  </w:style>
  <w:style w:type="character" w:customStyle="1" w:styleId="Heading9Char">
    <w:name w:val="Heading 9 Char"/>
    <w:basedOn w:val="DefaultParagraphFont"/>
    <w:link w:val="Heading9"/>
    <w:uiPriority w:val="9"/>
    <w:semiHidden/>
    <w:rsid w:val="006F749D"/>
    <w:rPr>
      <w:rFonts w:asciiTheme="majorHAnsi" w:eastAsiaTheme="majorEastAsia" w:hAnsiTheme="majorHAnsi" w:cstheme="majorBidi"/>
      <w:i/>
      <w:iCs/>
      <w:color w:val="000000"/>
      <w:sz w:val="20"/>
      <w:szCs w:val="20"/>
    </w:rPr>
  </w:style>
  <w:style w:type="paragraph" w:customStyle="1" w:styleId="ScheduleTitle">
    <w:name w:val="Schedule Title"/>
    <w:basedOn w:val="Paragraph"/>
    <w:qFormat/>
    <w:rsid w:val="006F749D"/>
    <w:rPr>
      <w:b/>
    </w:rPr>
  </w:style>
  <w:style w:type="paragraph" w:customStyle="1" w:styleId="Part">
    <w:name w:val="Part"/>
    <w:basedOn w:val="Paragraph"/>
    <w:qFormat/>
    <w:rsid w:val="006F749D"/>
    <w:pPr>
      <w:numPr>
        <w:ilvl w:val="1"/>
        <w:numId w:val="22"/>
      </w:numPr>
      <w:spacing w:before="240" w:after="240"/>
      <w:jc w:val="left"/>
    </w:pPr>
    <w:rPr>
      <w:b/>
    </w:rPr>
  </w:style>
  <w:style w:type="paragraph" w:customStyle="1" w:styleId="AnnexTitle">
    <w:name w:val="Annex Title"/>
    <w:basedOn w:val="Paragraph"/>
    <w:next w:val="Paragraph"/>
    <w:qFormat/>
    <w:rsid w:val="006F749D"/>
    <w:pPr>
      <w:spacing w:before="240" w:after="240"/>
    </w:pPr>
    <w:rPr>
      <w:b/>
    </w:rPr>
  </w:style>
  <w:style w:type="paragraph" w:customStyle="1" w:styleId="PartTitle">
    <w:name w:val="Part Title"/>
    <w:basedOn w:val="Paragraph"/>
    <w:qFormat/>
    <w:rsid w:val="006F749D"/>
    <w:rPr>
      <w:b/>
    </w:rPr>
  </w:style>
  <w:style w:type="paragraph" w:customStyle="1" w:styleId="Testimonium">
    <w:name w:val="Testimonium"/>
    <w:basedOn w:val="Paragraph"/>
    <w:qFormat/>
    <w:rsid w:val="006F749D"/>
  </w:style>
  <w:style w:type="character" w:customStyle="1" w:styleId="apple-converted-space">
    <w:name w:val="apple-converted-space"/>
    <w:basedOn w:val="DefaultParagraphFont"/>
    <w:rsid w:val="006F749D"/>
    <w:rPr>
      <w:color w:val="000000"/>
    </w:rPr>
  </w:style>
  <w:style w:type="character" w:styleId="Emphasis">
    <w:name w:val="Emphasis"/>
    <w:basedOn w:val="DefaultParagraphFont"/>
    <w:uiPriority w:val="20"/>
    <w:qFormat/>
    <w:rsid w:val="006F749D"/>
    <w:rPr>
      <w:i/>
      <w:iCs/>
      <w:color w:val="000000"/>
    </w:rPr>
  </w:style>
  <w:style w:type="paragraph" w:customStyle="1" w:styleId="NoNumTitle-Clause">
    <w:name w:val="No Num Title - Clause"/>
    <w:basedOn w:val="TitleClause"/>
    <w:qFormat/>
    <w:rsid w:val="006F749D"/>
    <w:pPr>
      <w:numPr>
        <w:numId w:val="0"/>
      </w:numPr>
      <w:ind w:left="720"/>
    </w:pPr>
  </w:style>
  <w:style w:type="paragraph" w:customStyle="1" w:styleId="NoNumTitlesubclause1">
    <w:name w:val="No Num Title subclause1"/>
    <w:basedOn w:val="Titlesubclause1"/>
    <w:qFormat/>
    <w:rsid w:val="006F749D"/>
    <w:pPr>
      <w:numPr>
        <w:ilvl w:val="0"/>
        <w:numId w:val="0"/>
      </w:numPr>
      <w:ind w:left="720"/>
    </w:pPr>
  </w:style>
  <w:style w:type="paragraph" w:customStyle="1" w:styleId="AddressLine">
    <w:name w:val="Address Line"/>
    <w:basedOn w:val="Paragraph"/>
    <w:qFormat/>
    <w:rsid w:val="006F749D"/>
  </w:style>
  <w:style w:type="paragraph" w:styleId="Date">
    <w:name w:val="Date"/>
    <w:basedOn w:val="Paragraph"/>
    <w:qFormat/>
    <w:rsid w:val="006F749D"/>
  </w:style>
  <w:style w:type="paragraph" w:customStyle="1" w:styleId="SalutationPara">
    <w:name w:val="Salutation Para"/>
    <w:basedOn w:val="Paragraph"/>
    <w:next w:val="Paragraph"/>
    <w:qFormat/>
    <w:rsid w:val="006F749D"/>
    <w:pPr>
      <w:spacing w:before="240"/>
    </w:pPr>
  </w:style>
  <w:style w:type="character" w:styleId="FollowedHyperlink">
    <w:name w:val="FollowedHyperlink"/>
    <w:basedOn w:val="DefaultParagraphFont"/>
    <w:uiPriority w:val="99"/>
    <w:semiHidden/>
    <w:unhideWhenUsed/>
    <w:rsid w:val="006F749D"/>
    <w:rPr>
      <w:i/>
      <w:color w:val="000000"/>
      <w:u w:val="single"/>
    </w:rPr>
  </w:style>
  <w:style w:type="character" w:customStyle="1" w:styleId="DefTerm">
    <w:name w:val="DefTerm"/>
    <w:basedOn w:val="DefaultParagraphFont"/>
    <w:uiPriority w:val="1"/>
    <w:qFormat/>
    <w:rsid w:val="006F749D"/>
    <w:rPr>
      <w:b/>
      <w:color w:val="000000"/>
    </w:rPr>
  </w:style>
  <w:style w:type="table" w:customStyle="1" w:styleId="ShadedTable">
    <w:name w:val="Shaded Table"/>
    <w:basedOn w:val="TableNormal"/>
    <w:uiPriority w:val="99"/>
    <w:rsid w:val="006F749D"/>
    <w:pPr>
      <w:spacing w:after="0" w:line="240" w:lineRule="auto"/>
    </w:pPr>
    <w:rPr>
      <w:color w:val="000000"/>
    </w:rPr>
    <w:tblPr>
      <w:tblBorders>
        <w:top w:val="single" w:sz="4" w:space="0" w:color="auto"/>
        <w:left w:val="single" w:sz="4" w:space="0" w:color="auto"/>
        <w:bottom w:val="single" w:sz="4" w:space="0" w:color="auto"/>
        <w:right w:val="single" w:sz="4" w:space="0" w:color="auto"/>
      </w:tblBorders>
    </w:tblPr>
    <w:tcPr>
      <w:shd w:val="clear" w:color="auto" w:fill="EEECE1" w:themeFill="background2"/>
    </w:tcPr>
  </w:style>
  <w:style w:type="paragraph" w:customStyle="1" w:styleId="Letterhead">
    <w:name w:val="Letterhead"/>
    <w:basedOn w:val="Paragraph"/>
    <w:qFormat/>
    <w:rsid w:val="006F749D"/>
    <w:rPr>
      <w:i/>
    </w:rPr>
  </w:style>
  <w:style w:type="paragraph" w:customStyle="1" w:styleId="LetterTitle">
    <w:name w:val="Letter Title"/>
    <w:basedOn w:val="Paragraph"/>
    <w:qFormat/>
    <w:rsid w:val="006F749D"/>
    <w:rPr>
      <w:b/>
    </w:rPr>
  </w:style>
  <w:style w:type="paragraph" w:customStyle="1" w:styleId="LongQuestionPara">
    <w:name w:val="Long Question Para"/>
    <w:basedOn w:val="Paragraph"/>
    <w:link w:val="LongQuestionParaChar"/>
    <w:rsid w:val="006F749D"/>
    <w:pPr>
      <w:numPr>
        <w:numId w:val="12"/>
      </w:numPr>
      <w:spacing w:before="240" w:after="240" w:line="240" w:lineRule="auto"/>
      <w:outlineLvl w:val="1"/>
    </w:pPr>
    <w:rPr>
      <w:sz w:val="20"/>
      <w:lang w:val="en-US"/>
    </w:rPr>
  </w:style>
  <w:style w:type="character" w:customStyle="1" w:styleId="LongQuestionParaChar">
    <w:name w:val="Long Question Para Char"/>
    <w:basedOn w:val="DefaultParagraphFont"/>
    <w:link w:val="LongQuestionPara"/>
    <w:rsid w:val="006F749D"/>
    <w:rPr>
      <w:rFonts w:ascii="Arial" w:eastAsia="Arial Unicode MS" w:hAnsi="Arial" w:cs="Arial"/>
      <w:color w:val="000000"/>
      <w:sz w:val="20"/>
      <w:szCs w:val="20"/>
      <w:lang w:val="en-US" w:eastAsia="en-US"/>
    </w:rPr>
  </w:style>
  <w:style w:type="paragraph" w:customStyle="1" w:styleId="ShortQuestionPara">
    <w:name w:val="Short Question Para"/>
    <w:basedOn w:val="Paragraph"/>
    <w:link w:val="ShortQuestionParaChar"/>
    <w:rsid w:val="006F749D"/>
    <w:pPr>
      <w:shd w:val="clear" w:color="auto" w:fill="D9D9D9" w:themeFill="background1" w:themeFillShade="D9"/>
      <w:tabs>
        <w:tab w:val="left" w:pos="270"/>
      </w:tabs>
      <w:spacing w:after="40" w:line="240" w:lineRule="auto"/>
      <w:outlineLvl w:val="1"/>
    </w:pPr>
    <w:rPr>
      <w:bCs/>
      <w:sz w:val="20"/>
      <w:lang w:val="en-US"/>
    </w:rPr>
  </w:style>
  <w:style w:type="character" w:customStyle="1" w:styleId="ShortQuestionParaChar">
    <w:name w:val="Short Question Para Char"/>
    <w:basedOn w:val="DefaultParagraphFont"/>
    <w:link w:val="ShortQuestionPara"/>
    <w:rsid w:val="006F749D"/>
    <w:rPr>
      <w:rFonts w:ascii="Arial" w:eastAsia="Arial Unicode MS" w:hAnsi="Arial" w:cs="Arial"/>
      <w:bCs/>
      <w:color w:val="000000"/>
      <w:sz w:val="20"/>
      <w:szCs w:val="20"/>
      <w:shd w:val="clear" w:color="auto" w:fill="D9D9D9" w:themeFill="background1" w:themeFillShade="D9"/>
      <w:lang w:val="en-US" w:eastAsia="en-US"/>
    </w:rPr>
  </w:style>
  <w:style w:type="character" w:customStyle="1" w:styleId="ParagraphChar">
    <w:name w:val="Paragraph Char"/>
    <w:basedOn w:val="DefaultParagraphFont"/>
    <w:link w:val="Paragraph"/>
    <w:rsid w:val="006F749D"/>
    <w:rPr>
      <w:rFonts w:ascii="Arial" w:eastAsia="Arial Unicode MS" w:hAnsi="Arial" w:cs="Arial"/>
      <w:color w:val="000000"/>
      <w:szCs w:val="20"/>
      <w:lang w:eastAsia="en-US"/>
    </w:rPr>
  </w:style>
  <w:style w:type="paragraph" w:customStyle="1" w:styleId="811D3A974D454A258B71E3C4DE24C4F210">
    <w:name w:val="811D3A974D454A258B71E3C4DE24C4F210"/>
    <w:rsid w:val="007139A0"/>
    <w:pPr>
      <w:spacing w:after="120" w:line="240" w:lineRule="auto"/>
    </w:pPr>
    <w:rPr>
      <w:rFonts w:ascii="Arial" w:eastAsia="Arial Unicode MS" w:hAnsi="Arial" w:cs="Arial"/>
      <w:color w:val="000000"/>
      <w:sz w:val="24"/>
      <w:lang w:val="en-US" w:eastAsia="en-US"/>
    </w:rPr>
  </w:style>
  <w:style w:type="paragraph" w:customStyle="1" w:styleId="ListParagraphLevel3">
    <w:name w:val="List Paragraph Level 3"/>
    <w:qFormat/>
    <w:rsid w:val="006F749D"/>
    <w:pPr>
      <w:spacing w:after="120" w:line="240" w:lineRule="auto"/>
      <w:ind w:left="2160"/>
    </w:pPr>
    <w:rPr>
      <w:rFonts w:ascii="Times New Roman" w:eastAsia="Times New Roman" w:hAnsi="Times New Roman" w:cs="Times New Roman"/>
      <w:color w:val="000000"/>
      <w:sz w:val="24"/>
      <w:szCs w:val="20"/>
      <w:lang w:eastAsia="en-US"/>
    </w:rPr>
  </w:style>
  <w:style w:type="paragraph" w:customStyle="1" w:styleId="DocumentTitle">
    <w:name w:val="Document Title"/>
    <w:basedOn w:val="Paragraph"/>
    <w:qFormat/>
    <w:rsid w:val="006F749D"/>
    <w:pPr>
      <w:jc w:val="center"/>
    </w:pPr>
    <w:rPr>
      <w:sz w:val="28"/>
    </w:rPr>
  </w:style>
  <w:style w:type="paragraph" w:customStyle="1" w:styleId="Title-Clause">
    <w:name w:val="Title - Clause"/>
    <w:aliases w:val="BIWS Heading 1"/>
    <w:basedOn w:val="Normal"/>
    <w:rsid w:val="006F749D"/>
    <w:pPr>
      <w:keepNext/>
      <w:tabs>
        <w:tab w:val="num" w:pos="720"/>
      </w:tabs>
      <w:spacing w:before="240" w:after="240" w:line="300" w:lineRule="atLeast"/>
      <w:ind w:left="720" w:hanging="720"/>
      <w:jc w:val="both"/>
      <w:outlineLvl w:val="0"/>
    </w:pPr>
    <w:rPr>
      <w:rFonts w:ascii="Arial" w:eastAsia="Arial Unicode MS" w:hAnsi="Arial" w:cs="Arial"/>
      <w:b/>
      <w:color w:val="000000"/>
      <w:kern w:val="28"/>
      <w:szCs w:val="20"/>
    </w:rPr>
  </w:style>
  <w:style w:type="paragraph" w:customStyle="1" w:styleId="Para-Clause-nonum">
    <w:name w:val="Para - Clause - no num"/>
    <w:aliases w:val="Body  clause"/>
    <w:basedOn w:val="Normal"/>
    <w:next w:val="Title-Clause"/>
    <w:rsid w:val="006F749D"/>
    <w:pPr>
      <w:spacing w:before="120" w:after="120" w:line="300" w:lineRule="atLeast"/>
      <w:ind w:left="720"/>
      <w:jc w:val="both"/>
    </w:pPr>
    <w:rPr>
      <w:rFonts w:ascii="Arial" w:eastAsia="Arial Unicode MS" w:hAnsi="Arial" w:cs="Arial"/>
      <w:color w:val="000000"/>
      <w:szCs w:val="20"/>
    </w:rPr>
  </w:style>
  <w:style w:type="paragraph" w:customStyle="1" w:styleId="Para-Clause">
    <w:name w:val="Para - Clause"/>
    <w:basedOn w:val="Title-Clause"/>
    <w:qFormat/>
    <w:rsid w:val="006F749D"/>
    <w:pPr>
      <w:spacing w:before="120"/>
    </w:pPr>
    <w:rPr>
      <w:b w:val="0"/>
    </w:rPr>
  </w:style>
  <w:style w:type="paragraph" w:customStyle="1" w:styleId="CoversheetParagraph">
    <w:name w:val="Coversheet Paragraph"/>
    <w:basedOn w:val="Normal"/>
    <w:autoRedefine/>
    <w:rsid w:val="006F749D"/>
    <w:pPr>
      <w:spacing w:after="0" w:line="300" w:lineRule="atLeast"/>
      <w:jc w:val="center"/>
    </w:pPr>
    <w:rPr>
      <w:rFonts w:ascii="Times New Roman" w:eastAsia="Times New Roman" w:hAnsi="Times New Roman" w:cs="Times New Roman"/>
      <w:color w:val="000000"/>
      <w:szCs w:val="20"/>
    </w:rPr>
  </w:style>
  <w:style w:type="paragraph" w:customStyle="1" w:styleId="CoversheetIntro">
    <w:name w:val="Coversheet Intro"/>
    <w:basedOn w:val="CoversheetTitle"/>
    <w:qFormat/>
    <w:rsid w:val="006F749D"/>
    <w:rPr>
      <w:smallCaps w:val="0"/>
      <w:sz w:val="22"/>
    </w:rPr>
  </w:style>
  <w:style w:type="paragraph" w:customStyle="1" w:styleId="CoversheetStaticText">
    <w:name w:val="Coversheet Static Text"/>
    <w:basedOn w:val="CoversheetIntro"/>
    <w:qFormat/>
    <w:rsid w:val="006F749D"/>
    <w:rPr>
      <w:b w:val="0"/>
    </w:rPr>
  </w:style>
  <w:style w:type="paragraph" w:customStyle="1" w:styleId="CoversheetParty">
    <w:name w:val="Coversheet Party"/>
    <w:basedOn w:val="CoversheetIntro"/>
    <w:qFormat/>
    <w:rsid w:val="006F749D"/>
  </w:style>
  <w:style w:type="paragraph" w:customStyle="1" w:styleId="NoNumUntitledClause">
    <w:name w:val="No Num Untitled Clause"/>
    <w:basedOn w:val="UntitledClause"/>
    <w:qFormat/>
    <w:rsid w:val="006F749D"/>
    <w:pPr>
      <w:numPr>
        <w:numId w:val="0"/>
      </w:numPr>
      <w:ind w:left="720"/>
    </w:pPr>
  </w:style>
  <w:style w:type="paragraph" w:customStyle="1" w:styleId="BackgroundSubclause1">
    <w:name w:val="Background Subclause1"/>
    <w:basedOn w:val="Background"/>
    <w:qFormat/>
    <w:rsid w:val="006F749D"/>
    <w:pPr>
      <w:numPr>
        <w:ilvl w:val="1"/>
      </w:numPr>
    </w:pPr>
  </w:style>
  <w:style w:type="paragraph" w:customStyle="1" w:styleId="BackgroundSubclause2">
    <w:name w:val="Background Subclause2"/>
    <w:basedOn w:val="Background"/>
    <w:qFormat/>
    <w:rsid w:val="006F749D"/>
    <w:pPr>
      <w:numPr>
        <w:ilvl w:val="3"/>
      </w:numPr>
    </w:pPr>
  </w:style>
  <w:style w:type="paragraph" w:customStyle="1" w:styleId="HeadingLevel2CQA">
    <w:name w:val="Heading Level 2 CQA"/>
    <w:basedOn w:val="HeadingLevel2"/>
    <w:qFormat/>
    <w:rsid w:val="006F749D"/>
  </w:style>
  <w:style w:type="paragraph" w:customStyle="1" w:styleId="ClauseBullet1">
    <w:name w:val="Clause Bullet 1"/>
    <w:basedOn w:val="ParaClause"/>
    <w:qFormat/>
    <w:rsid w:val="006F749D"/>
    <w:pPr>
      <w:numPr>
        <w:numId w:val="13"/>
      </w:numPr>
      <w:ind w:left="1077" w:hanging="357"/>
      <w:outlineLvl w:val="0"/>
    </w:pPr>
  </w:style>
  <w:style w:type="paragraph" w:customStyle="1" w:styleId="ClauseBullet2">
    <w:name w:val="Clause Bullet 2"/>
    <w:basedOn w:val="ParaClause"/>
    <w:qFormat/>
    <w:rsid w:val="006F749D"/>
    <w:pPr>
      <w:numPr>
        <w:numId w:val="14"/>
      </w:numPr>
      <w:ind w:left="1434" w:hanging="357"/>
      <w:outlineLvl w:val="1"/>
    </w:pPr>
  </w:style>
  <w:style w:type="paragraph" w:customStyle="1" w:styleId="subclause1Bullet1">
    <w:name w:val="subclause 1 Bullet 1"/>
    <w:basedOn w:val="Parasubclause1"/>
    <w:qFormat/>
    <w:rsid w:val="006F749D"/>
    <w:pPr>
      <w:numPr>
        <w:numId w:val="15"/>
      </w:numPr>
      <w:ind w:left="1077" w:hanging="357"/>
    </w:pPr>
  </w:style>
  <w:style w:type="paragraph" w:customStyle="1" w:styleId="subclause2Bullet1">
    <w:name w:val="subclause 2 Bullet 1"/>
    <w:basedOn w:val="Parasubclause2"/>
    <w:qFormat/>
    <w:rsid w:val="006F749D"/>
    <w:pPr>
      <w:numPr>
        <w:numId w:val="17"/>
      </w:numPr>
      <w:ind w:left="1434" w:hanging="357"/>
    </w:pPr>
  </w:style>
  <w:style w:type="paragraph" w:customStyle="1" w:styleId="subclause3Bullet1">
    <w:name w:val="subclause 3 Bullet 1"/>
    <w:basedOn w:val="Parasubclause3"/>
    <w:qFormat/>
    <w:rsid w:val="006F749D"/>
    <w:pPr>
      <w:numPr>
        <w:numId w:val="16"/>
      </w:numPr>
      <w:ind w:left="2273" w:hanging="357"/>
    </w:pPr>
  </w:style>
  <w:style w:type="paragraph" w:customStyle="1" w:styleId="subclause1Bullet2">
    <w:name w:val="subclause 1 Bullet 2"/>
    <w:basedOn w:val="Parasubclause1"/>
    <w:qFormat/>
    <w:rsid w:val="006F749D"/>
    <w:pPr>
      <w:numPr>
        <w:numId w:val="18"/>
      </w:numPr>
      <w:ind w:left="1434" w:hanging="357"/>
    </w:pPr>
  </w:style>
  <w:style w:type="paragraph" w:customStyle="1" w:styleId="subclause2Bullet2">
    <w:name w:val="subclause 2 Bullet 2"/>
    <w:basedOn w:val="Parasubclause2"/>
    <w:qFormat/>
    <w:rsid w:val="006F749D"/>
    <w:pPr>
      <w:numPr>
        <w:numId w:val="19"/>
      </w:numPr>
      <w:ind w:left="2273" w:hanging="357"/>
    </w:pPr>
  </w:style>
  <w:style w:type="paragraph" w:customStyle="1" w:styleId="subclause3Bullet2">
    <w:name w:val="subclause 3 Bullet 2"/>
    <w:basedOn w:val="Parasubclause3"/>
    <w:qFormat/>
    <w:rsid w:val="006F749D"/>
    <w:pPr>
      <w:numPr>
        <w:numId w:val="20"/>
      </w:numPr>
      <w:ind w:left="2982" w:hanging="357"/>
    </w:pPr>
  </w:style>
  <w:style w:type="paragraph" w:customStyle="1" w:styleId="DefinedTermBullet">
    <w:name w:val="Defined Term Bullet"/>
    <w:basedOn w:val="DefinedTermPara"/>
    <w:qFormat/>
    <w:rsid w:val="006F749D"/>
    <w:pPr>
      <w:numPr>
        <w:numId w:val="21"/>
      </w:numPr>
    </w:pPr>
  </w:style>
  <w:style w:type="paragraph" w:customStyle="1" w:styleId="DefinedTermNumber">
    <w:name w:val="Defined Term Number"/>
    <w:basedOn w:val="DefinedTermPara"/>
    <w:qFormat/>
    <w:rsid w:val="006F749D"/>
    <w:pPr>
      <w:numPr>
        <w:ilvl w:val="1"/>
      </w:numPr>
    </w:pPr>
  </w:style>
  <w:style w:type="paragraph" w:customStyle="1" w:styleId="AdditionalTitle">
    <w:name w:val="Additional Title"/>
    <w:basedOn w:val="Paragraph"/>
    <w:qFormat/>
    <w:rsid w:val="006F749D"/>
    <w:pPr>
      <w:jc w:val="left"/>
    </w:pPr>
    <w:rPr>
      <w:b/>
    </w:rPr>
  </w:style>
  <w:style w:type="character" w:customStyle="1" w:styleId="error">
    <w:name w:val="error"/>
    <w:basedOn w:val="DefaultParagraphFont"/>
    <w:rsid w:val="006F749D"/>
    <w:rPr>
      <w:color w:val="000000"/>
    </w:rPr>
  </w:style>
  <w:style w:type="paragraph" w:customStyle="1" w:styleId="NoNumUntitledsubclause1">
    <w:name w:val="No Num Untitled subclause 1"/>
    <w:basedOn w:val="Untitledsubclause1"/>
    <w:qFormat/>
    <w:rsid w:val="006F749D"/>
    <w:pPr>
      <w:numPr>
        <w:ilvl w:val="0"/>
        <w:numId w:val="0"/>
      </w:numPr>
      <w:ind w:left="720"/>
    </w:pPr>
  </w:style>
  <w:style w:type="paragraph" w:customStyle="1" w:styleId="BackgroundParaClause">
    <w:name w:val="Background Para Clause"/>
    <w:basedOn w:val="Background"/>
    <w:qFormat/>
    <w:rsid w:val="006F749D"/>
    <w:pPr>
      <w:numPr>
        <w:numId w:val="0"/>
      </w:numPr>
    </w:pPr>
  </w:style>
  <w:style w:type="paragraph" w:customStyle="1" w:styleId="BackgroundParaSubclause1">
    <w:name w:val="Background Para Subclause1"/>
    <w:basedOn w:val="BackgroundSubclause1"/>
    <w:qFormat/>
    <w:rsid w:val="006F749D"/>
    <w:pPr>
      <w:numPr>
        <w:ilvl w:val="0"/>
        <w:numId w:val="0"/>
      </w:numPr>
      <w:ind w:left="994"/>
    </w:pPr>
    <w:rPr>
      <w:lang w:val="en-US"/>
    </w:rPr>
  </w:style>
  <w:style w:type="paragraph" w:customStyle="1" w:styleId="BackgroundParaSubclause2">
    <w:name w:val="Background Para Subclause2"/>
    <w:basedOn w:val="BackgroundSubclause2"/>
    <w:qFormat/>
    <w:rsid w:val="006F749D"/>
    <w:pPr>
      <w:numPr>
        <w:ilvl w:val="0"/>
        <w:numId w:val="0"/>
      </w:numPr>
      <w:ind w:left="1701"/>
    </w:pPr>
    <w:rPr>
      <w:lang w:val="en-US"/>
    </w:rPr>
  </w:style>
  <w:style w:type="paragraph" w:customStyle="1" w:styleId="ClauseBulletPara">
    <w:name w:val="Clause Bullet Para"/>
    <w:basedOn w:val="ClauseBullet1"/>
    <w:qFormat/>
    <w:rsid w:val="006F749D"/>
    <w:pPr>
      <w:numPr>
        <w:numId w:val="0"/>
      </w:numPr>
      <w:ind w:left="1080"/>
    </w:pPr>
    <w:rPr>
      <w:lang w:val="en-US"/>
    </w:rPr>
  </w:style>
  <w:style w:type="paragraph" w:customStyle="1" w:styleId="ClauseBullet2Para">
    <w:name w:val="Clause Bullet 2 Para"/>
    <w:basedOn w:val="ClauseBullet2"/>
    <w:qFormat/>
    <w:rsid w:val="006F749D"/>
    <w:pPr>
      <w:numPr>
        <w:numId w:val="0"/>
      </w:numPr>
      <w:ind w:left="1440"/>
    </w:pPr>
    <w:rPr>
      <w:lang w:val="en-US"/>
    </w:rPr>
  </w:style>
  <w:style w:type="paragraph" w:customStyle="1" w:styleId="ACTJurisdictionCheckList">
    <w:name w:val="ACTJurisdictionCheckList"/>
    <w:basedOn w:val="Normal"/>
    <w:rsid w:val="006F749D"/>
    <w:pPr>
      <w:spacing w:after="120" w:line="300" w:lineRule="atLeast"/>
    </w:pPr>
    <w:rPr>
      <w:rFonts w:ascii="Arial" w:eastAsia="Arial Unicode MS" w:hAnsi="Arial" w:cs="Arial"/>
      <w:b/>
      <w:color w:val="000000"/>
      <w:sz w:val="28"/>
    </w:rPr>
  </w:style>
  <w:style w:type="paragraph" w:customStyle="1" w:styleId="JurisdictionDraftingnoteTitle">
    <w:name w:val="Jurisdiction Draftingnote Title"/>
    <w:basedOn w:val="DraftingnoteTitle"/>
    <w:qFormat/>
    <w:rsid w:val="006F749D"/>
  </w:style>
  <w:style w:type="paragraph" w:customStyle="1" w:styleId="ScheduleTitleClause">
    <w:name w:val="Schedule Title Clause"/>
    <w:basedOn w:val="Normal"/>
    <w:rsid w:val="006F749D"/>
    <w:pPr>
      <w:keepNext/>
      <w:numPr>
        <w:ilvl w:val="2"/>
        <w:numId w:val="22"/>
      </w:numPr>
      <w:spacing w:before="240" w:after="240" w:line="300" w:lineRule="atLeast"/>
      <w:jc w:val="both"/>
      <w:outlineLvl w:val="0"/>
    </w:pPr>
    <w:rPr>
      <w:rFonts w:ascii="Arial" w:eastAsia="Arial Unicode MS" w:hAnsi="Arial" w:cs="Arial"/>
      <w:b/>
      <w:color w:val="000000"/>
      <w:kern w:val="28"/>
      <w:szCs w:val="20"/>
    </w:rPr>
  </w:style>
  <w:style w:type="paragraph" w:customStyle="1" w:styleId="ScheduleUntitledsubclause1">
    <w:name w:val="Schedule Untitled subclause 1"/>
    <w:basedOn w:val="Normal"/>
    <w:rsid w:val="006F749D"/>
    <w:pPr>
      <w:numPr>
        <w:ilvl w:val="3"/>
        <w:numId w:val="22"/>
      </w:numPr>
      <w:spacing w:before="280" w:after="120" w:line="300" w:lineRule="atLeast"/>
      <w:jc w:val="both"/>
      <w:outlineLvl w:val="1"/>
    </w:pPr>
    <w:rPr>
      <w:rFonts w:ascii="Arial" w:eastAsia="Arial Unicode MS" w:hAnsi="Arial" w:cs="Arial"/>
      <w:color w:val="000000"/>
      <w:szCs w:val="20"/>
    </w:rPr>
  </w:style>
  <w:style w:type="paragraph" w:customStyle="1" w:styleId="ScheduleUntitledsubclause2">
    <w:name w:val="Schedule Untitled subclause 2"/>
    <w:basedOn w:val="Normal"/>
    <w:rsid w:val="006F749D"/>
    <w:pPr>
      <w:numPr>
        <w:ilvl w:val="4"/>
        <w:numId w:val="22"/>
      </w:numPr>
      <w:spacing w:after="120" w:line="300" w:lineRule="atLeast"/>
      <w:jc w:val="both"/>
      <w:outlineLvl w:val="2"/>
    </w:pPr>
    <w:rPr>
      <w:rFonts w:ascii="Arial" w:eastAsia="Arial Unicode MS" w:hAnsi="Arial" w:cs="Arial"/>
      <w:color w:val="000000"/>
      <w:szCs w:val="20"/>
    </w:rPr>
  </w:style>
  <w:style w:type="paragraph" w:customStyle="1" w:styleId="ScheduleUntitledsubclause3">
    <w:name w:val="Schedule Untitled subclause 3"/>
    <w:basedOn w:val="Normal"/>
    <w:rsid w:val="006F749D"/>
    <w:pPr>
      <w:numPr>
        <w:ilvl w:val="5"/>
        <w:numId w:val="22"/>
      </w:numPr>
      <w:tabs>
        <w:tab w:val="left" w:pos="2261"/>
      </w:tabs>
      <w:spacing w:after="120" w:line="300" w:lineRule="atLeast"/>
      <w:jc w:val="both"/>
      <w:outlineLvl w:val="3"/>
    </w:pPr>
    <w:rPr>
      <w:rFonts w:ascii="Arial" w:eastAsia="Arial Unicode MS" w:hAnsi="Arial" w:cs="Arial"/>
      <w:color w:val="000000"/>
      <w:szCs w:val="20"/>
    </w:rPr>
  </w:style>
  <w:style w:type="paragraph" w:customStyle="1" w:styleId="ScheduleUntitledsubclause4">
    <w:name w:val="Schedule Untitled subclause 4"/>
    <w:basedOn w:val="Normal"/>
    <w:rsid w:val="006F749D"/>
    <w:pPr>
      <w:spacing w:after="120" w:line="300" w:lineRule="atLeast"/>
      <w:jc w:val="both"/>
      <w:outlineLvl w:val="4"/>
    </w:pPr>
    <w:rPr>
      <w:rFonts w:ascii="Arial" w:eastAsia="Arial Unicode MS" w:hAnsi="Arial" w:cs="Arial"/>
      <w:color w:val="000000"/>
      <w:szCs w:val="20"/>
    </w:rPr>
  </w:style>
  <w:style w:type="paragraph" w:customStyle="1" w:styleId="BulletListPattern1">
    <w:name w:val="Bullet List Pattern 1"/>
    <w:basedOn w:val="BulletList1"/>
    <w:qFormat/>
    <w:rsid w:val="006F749D"/>
    <w:pPr>
      <w:shd w:val="clear" w:color="auto" w:fill="D9D9D9" w:themeFill="background1" w:themeFillShade="D9"/>
      <w:spacing w:after="120" w:line="240" w:lineRule="auto"/>
      <w:ind w:left="714" w:hanging="357"/>
    </w:pPr>
  </w:style>
  <w:style w:type="paragraph" w:customStyle="1" w:styleId="BulletListPattern2">
    <w:name w:val="Bullet List Pattern 2"/>
    <w:basedOn w:val="BulletList2"/>
    <w:qFormat/>
    <w:rsid w:val="006F749D"/>
    <w:pPr>
      <w:shd w:val="clear" w:color="auto" w:fill="D9D9D9" w:themeFill="background1" w:themeFillShade="D9"/>
      <w:ind w:left="1077"/>
    </w:pPr>
  </w:style>
  <w:style w:type="paragraph" w:customStyle="1" w:styleId="ScheduleUntitledClause">
    <w:name w:val="Schedule Untitled Clause"/>
    <w:basedOn w:val="ScheduleTitleClause"/>
    <w:qFormat/>
    <w:rsid w:val="006F749D"/>
    <w:pPr>
      <w:spacing w:before="120"/>
    </w:pPr>
    <w:rPr>
      <w:b w:val="0"/>
    </w:rPr>
  </w:style>
  <w:style w:type="paragraph" w:customStyle="1" w:styleId="EmptyClausePara">
    <w:name w:val="Empty Clause Para"/>
    <w:basedOn w:val="IgnoredSpacing"/>
    <w:qFormat/>
    <w:rsid w:val="006F749D"/>
  </w:style>
  <w:style w:type="paragraph" w:styleId="ListParagraph">
    <w:name w:val="List Paragraph"/>
    <w:basedOn w:val="Normal"/>
    <w:uiPriority w:val="34"/>
    <w:qFormat/>
    <w:rsid w:val="006F749D"/>
    <w:pPr>
      <w:ind w:left="720"/>
      <w:contextualSpacing/>
    </w:pPr>
    <w:rPr>
      <w:color w:val="000000"/>
    </w:rPr>
  </w:style>
  <w:style w:type="paragraph" w:customStyle="1" w:styleId="ScheduleTitlesubclause1">
    <w:name w:val="Schedule Title subclause1"/>
    <w:basedOn w:val="ScheduleUntitledsubclause1"/>
    <w:qFormat/>
    <w:rsid w:val="006F749D"/>
    <w:pPr>
      <w:spacing w:before="120"/>
    </w:pPr>
    <w:rPr>
      <w:b/>
    </w:rPr>
  </w:style>
  <w:style w:type="paragraph" w:customStyle="1" w:styleId="835FF0B0D5344FE4A8EE41F54AA7E17C16">
    <w:name w:val="835FF0B0D5344FE4A8EE41F54AA7E17C16"/>
    <w:rsid w:val="005779AE"/>
    <w:pPr>
      <w:spacing w:after="120" w:line="240" w:lineRule="auto"/>
    </w:pPr>
    <w:rPr>
      <w:rFonts w:ascii="Arial" w:eastAsia="Times New Roman" w:hAnsi="Arial" w:cs="Times New Roman"/>
      <w:color w:val="000000"/>
      <w:sz w:val="24"/>
      <w:szCs w:val="24"/>
      <w:lang w:val="en-US" w:eastAsia="en-US"/>
    </w:rPr>
  </w:style>
  <w:style w:type="character" w:customStyle="1" w:styleId="UnresolvedMention1">
    <w:name w:val="Unresolved Mention1"/>
    <w:basedOn w:val="DefaultParagraphFont"/>
    <w:uiPriority w:val="99"/>
    <w:semiHidden/>
    <w:unhideWhenUsed/>
    <w:rsid w:val="00156C04"/>
    <w:rPr>
      <w:color w:val="000000"/>
      <w:shd w:val="clear" w:color="auto" w:fill="E6E6E6"/>
    </w:rPr>
  </w:style>
  <w:style w:type="paragraph" w:styleId="CommentText">
    <w:name w:val="annotation text"/>
    <w:basedOn w:val="Normal"/>
    <w:link w:val="CommentTextChar"/>
    <w:uiPriority w:val="99"/>
    <w:unhideWhenUsed/>
    <w:rsid w:val="002B1E2C"/>
    <w:pPr>
      <w:spacing w:line="240" w:lineRule="auto"/>
    </w:pPr>
    <w:rPr>
      <w:color w:val="000000"/>
      <w:sz w:val="20"/>
      <w:szCs w:val="20"/>
    </w:rPr>
  </w:style>
  <w:style w:type="character" w:customStyle="1" w:styleId="CommentTextChar">
    <w:name w:val="Comment Text Char"/>
    <w:basedOn w:val="DefaultParagraphFont"/>
    <w:link w:val="CommentText"/>
    <w:uiPriority w:val="99"/>
    <w:rsid w:val="002B1E2C"/>
    <w:rPr>
      <w:color w:val="000000"/>
      <w:sz w:val="20"/>
      <w:szCs w:val="20"/>
    </w:rPr>
  </w:style>
  <w:style w:type="character" w:styleId="CommentReference">
    <w:name w:val="annotation reference"/>
    <w:basedOn w:val="DefaultParagraphFont"/>
    <w:uiPriority w:val="99"/>
    <w:semiHidden/>
    <w:unhideWhenUsed/>
    <w:rsid w:val="002B1E2C"/>
    <w:rPr>
      <w:color w:val="000000"/>
      <w:sz w:val="16"/>
      <w:szCs w:val="16"/>
    </w:rPr>
  </w:style>
  <w:style w:type="paragraph" w:customStyle="1" w:styleId="SectorSpecificNoteTitle">
    <w:name w:val="Sector Specific Note Title"/>
    <w:basedOn w:val="JurisdictionDraftingnoteTitle"/>
    <w:qFormat/>
    <w:rsid w:val="006F749D"/>
  </w:style>
  <w:style w:type="table" w:customStyle="1" w:styleId="ShadedTable1">
    <w:name w:val="Shaded Table1"/>
    <w:basedOn w:val="TableNormal"/>
    <w:uiPriority w:val="99"/>
    <w:rsid w:val="006F749D"/>
    <w:pPr>
      <w:spacing w:after="0" w:line="240" w:lineRule="auto"/>
    </w:pPr>
    <w:rPr>
      <w:color w:val="000000"/>
    </w:rPr>
    <w:tblPr>
      <w:tblBorders>
        <w:top w:val="single" w:sz="4" w:space="0" w:color="auto"/>
        <w:left w:val="single" w:sz="4" w:space="0" w:color="auto"/>
        <w:bottom w:val="single" w:sz="4" w:space="0" w:color="auto"/>
        <w:right w:val="single" w:sz="4" w:space="0" w:color="auto"/>
      </w:tblBorders>
    </w:tblPr>
    <w:tcPr>
      <w:shd w:val="clear" w:color="auto" w:fill="EEECE1" w:themeFill="background2"/>
    </w:tcPr>
  </w:style>
  <w:style w:type="paragraph" w:customStyle="1" w:styleId="IgnoredEmptysubclause">
    <w:name w:val="Ignored Empty subclause"/>
    <w:basedOn w:val="Normal"/>
    <w:link w:val="IgnoredEmptysubclauseChar"/>
    <w:qFormat/>
    <w:rsid w:val="006F749D"/>
    <w:rPr>
      <w:color w:val="000000"/>
    </w:rPr>
  </w:style>
  <w:style w:type="character" w:styleId="Strong">
    <w:name w:val="Strong"/>
    <w:basedOn w:val="DefaultParagraphFont"/>
    <w:uiPriority w:val="22"/>
    <w:qFormat/>
    <w:rsid w:val="00F73E00"/>
    <w:rPr>
      <w:b/>
      <w:bCs/>
      <w:color w:val="000000"/>
    </w:rPr>
  </w:style>
  <w:style w:type="table" w:customStyle="1" w:styleId="TableGrid1">
    <w:name w:val="Table Grid1"/>
    <w:basedOn w:val="TableNormal"/>
    <w:next w:val="TableGrid"/>
    <w:rsid w:val="00780725"/>
    <w:pPr>
      <w:spacing w:after="0" w:line="240" w:lineRule="auto"/>
    </w:pPr>
    <w:rPr>
      <w:color w:val="00000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Subject">
    <w:name w:val="annotation subject"/>
    <w:basedOn w:val="CommentText"/>
    <w:next w:val="CommentText"/>
    <w:link w:val="CommentSubjectChar"/>
    <w:uiPriority w:val="99"/>
    <w:semiHidden/>
    <w:unhideWhenUsed/>
    <w:rsid w:val="006D1273"/>
    <w:rPr>
      <w:b/>
      <w:bCs/>
    </w:rPr>
  </w:style>
  <w:style w:type="character" w:customStyle="1" w:styleId="CommentSubjectChar">
    <w:name w:val="Comment Subject Char"/>
    <w:basedOn w:val="CommentTextChar"/>
    <w:link w:val="CommentSubject"/>
    <w:uiPriority w:val="99"/>
    <w:semiHidden/>
    <w:rsid w:val="006D1273"/>
    <w:rPr>
      <w:b/>
      <w:bCs/>
      <w:color w:val="000000"/>
      <w:sz w:val="20"/>
      <w:szCs w:val="20"/>
    </w:rPr>
  </w:style>
  <w:style w:type="character" w:customStyle="1" w:styleId="IgnoredEmptysubclauseChar">
    <w:name w:val="Ignored Empty subclause Char"/>
    <w:basedOn w:val="DefaultParagraphFont"/>
    <w:link w:val="IgnoredEmptysubclause"/>
    <w:rsid w:val="006F749D"/>
    <w:rPr>
      <w:color w:val="000000"/>
    </w:rPr>
  </w:style>
  <w:style w:type="character" w:customStyle="1" w:styleId="cosearchterm">
    <w:name w:val="co_searchterm"/>
    <w:basedOn w:val="DefaultParagraphFont"/>
    <w:rsid w:val="000F292A"/>
    <w:rPr>
      <w:color w:val="000000"/>
    </w:rPr>
  </w:style>
  <w:style w:type="paragraph" w:customStyle="1" w:styleId="6B1115FCC3DC4C6AB2CF846F0C50B663">
    <w:name w:val="6B1115FCC3DC4C6AB2CF846F0C50B663"/>
    <w:rsid w:val="001A7A71"/>
    <w:pPr>
      <w:spacing w:line="276" w:lineRule="auto"/>
    </w:pPr>
    <w:rPr>
      <w:color w:val="000000"/>
    </w:rPr>
  </w:style>
  <w:style w:type="character" w:customStyle="1" w:styleId="normaltextrun">
    <w:name w:val="normaltextrun"/>
    <w:basedOn w:val="DefaultParagraphFont"/>
    <w:rsid w:val="006B65C5"/>
    <w:rPr>
      <w:color w:val="000000"/>
    </w:rPr>
  </w:style>
  <w:style w:type="character" w:customStyle="1" w:styleId="eop">
    <w:name w:val="eop"/>
    <w:basedOn w:val="DefaultParagraphFont"/>
    <w:rsid w:val="00A20D08"/>
    <w:rPr>
      <w:color w:val="000000"/>
    </w:rPr>
  </w:style>
  <w:style w:type="character" w:customStyle="1" w:styleId="findhit">
    <w:name w:val="findhit"/>
    <w:basedOn w:val="DefaultParagraphFont"/>
    <w:rsid w:val="00A20D08"/>
    <w:rPr>
      <w:color w:val="000000"/>
    </w:rPr>
  </w:style>
  <w:style w:type="paragraph" w:customStyle="1" w:styleId="paragraph0">
    <w:name w:val="paragraph"/>
    <w:basedOn w:val="Normal"/>
    <w:rsid w:val="00C90B1A"/>
    <w:pPr>
      <w:spacing w:before="100" w:beforeAutospacing="1" w:after="100" w:afterAutospacing="1" w:line="240" w:lineRule="auto"/>
    </w:pPr>
    <w:rPr>
      <w:rFonts w:ascii="Times New Roman" w:eastAsia="Times New Roman" w:hAnsi="Times New Roman" w:cs="Times New Roman"/>
      <w:color w:val="000000"/>
    </w:rPr>
  </w:style>
  <w:style w:type="paragraph" w:styleId="TOC1">
    <w:name w:val="toc 1"/>
    <w:basedOn w:val="Normal"/>
    <w:next w:val="Normal"/>
    <w:autoRedefine/>
    <w:rsid w:val="00805BCE"/>
    <w:pPr>
      <w:spacing w:after="100" w:line="240" w:lineRule="auto"/>
    </w:pPr>
  </w:style>
  <w:style w:type="paragraph" w:styleId="Revision">
    <w:name w:val="Revision"/>
    <w:hidden/>
    <w:uiPriority w:val="99"/>
    <w:semiHidden/>
    <w:rsid w:val="007672C0"/>
    <w:pPr>
      <w:spacing w:after="0" w:line="240" w:lineRule="auto"/>
    </w:pPr>
    <w:rPr>
      <w:rFonts w:eastAsiaTheme="minorHAnsi"/>
      <w:kern w:val="2"/>
      <w:sz w:val="24"/>
      <w:szCs w:val="24"/>
      <w:lang w:eastAsia="en-US"/>
      <w14:ligatures w14:val="standardContextual"/>
    </w:rPr>
  </w:style>
  <w:style w:type="character" w:styleId="BookTitle">
    <w:name w:val="Book Title"/>
    <w:basedOn w:val="DefaultParagraphFont"/>
    <w:uiPriority w:val="33"/>
    <w:qFormat/>
    <w:rsid w:val="000821F6"/>
    <w:rPr>
      <w:b/>
      <w:bCs/>
      <w:i/>
      <w:iCs/>
      <w:spacing w:val="5"/>
    </w:rPr>
  </w:style>
  <w:style w:type="paragraph" w:styleId="Caption">
    <w:name w:val="caption"/>
    <w:basedOn w:val="Normal"/>
    <w:next w:val="Normal"/>
    <w:uiPriority w:val="35"/>
    <w:semiHidden/>
    <w:unhideWhenUsed/>
    <w:qFormat/>
    <w:rsid w:val="000821F6"/>
    <w:pPr>
      <w:spacing w:after="200" w:line="240" w:lineRule="auto"/>
    </w:pPr>
    <w:rPr>
      <w:i/>
      <w:iCs/>
      <w:color w:val="1F497D" w:themeColor="text2"/>
      <w:sz w:val="18"/>
      <w:szCs w:val="18"/>
    </w:rPr>
  </w:style>
  <w:style w:type="character" w:styleId="IntenseEmphasis">
    <w:name w:val="Intense Emphasis"/>
    <w:basedOn w:val="DefaultParagraphFont"/>
    <w:uiPriority w:val="21"/>
    <w:qFormat/>
    <w:rsid w:val="000821F6"/>
    <w:rPr>
      <w:i/>
      <w:iCs/>
      <w:color w:val="4F81BD" w:themeColor="accent1"/>
    </w:rPr>
  </w:style>
  <w:style w:type="paragraph" w:styleId="IntenseQuote">
    <w:name w:val="Intense Quote"/>
    <w:basedOn w:val="Normal"/>
    <w:next w:val="Normal"/>
    <w:link w:val="IntenseQuoteChar"/>
    <w:uiPriority w:val="30"/>
    <w:qFormat/>
    <w:rsid w:val="000821F6"/>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0821F6"/>
    <w:rPr>
      <w:rFonts w:eastAsiaTheme="minorHAnsi"/>
      <w:i/>
      <w:iCs/>
      <w:color w:val="4F81BD" w:themeColor="accent1"/>
      <w:kern w:val="2"/>
      <w:sz w:val="24"/>
      <w:szCs w:val="24"/>
      <w:lang w:eastAsia="en-US"/>
      <w14:ligatures w14:val="standardContextual"/>
    </w:rPr>
  </w:style>
  <w:style w:type="character" w:styleId="IntenseReference">
    <w:name w:val="Intense Reference"/>
    <w:basedOn w:val="DefaultParagraphFont"/>
    <w:uiPriority w:val="32"/>
    <w:qFormat/>
    <w:rsid w:val="000821F6"/>
    <w:rPr>
      <w:b/>
      <w:bCs/>
      <w:smallCaps/>
      <w:color w:val="4F81BD" w:themeColor="accent1"/>
      <w:spacing w:val="5"/>
    </w:rPr>
  </w:style>
  <w:style w:type="paragraph" w:styleId="NoSpacing">
    <w:name w:val="No Spacing"/>
    <w:uiPriority w:val="1"/>
    <w:qFormat/>
    <w:rsid w:val="000821F6"/>
    <w:pPr>
      <w:spacing w:after="0" w:line="240" w:lineRule="auto"/>
    </w:pPr>
    <w:rPr>
      <w:rFonts w:eastAsiaTheme="minorHAnsi"/>
      <w:kern w:val="2"/>
      <w:sz w:val="24"/>
      <w:szCs w:val="24"/>
      <w:lang w:eastAsia="en-US"/>
      <w14:ligatures w14:val="standardContextual"/>
    </w:rPr>
  </w:style>
  <w:style w:type="paragraph" w:styleId="Quote">
    <w:name w:val="Quote"/>
    <w:basedOn w:val="Normal"/>
    <w:next w:val="Normal"/>
    <w:link w:val="QuoteChar"/>
    <w:uiPriority w:val="29"/>
    <w:qFormat/>
    <w:rsid w:val="000821F6"/>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rsid w:val="000821F6"/>
    <w:rPr>
      <w:rFonts w:eastAsiaTheme="minorHAnsi"/>
      <w:i/>
      <w:iCs/>
      <w:color w:val="404040" w:themeColor="text1" w:themeTint="BF"/>
      <w:kern w:val="2"/>
      <w:sz w:val="24"/>
      <w:szCs w:val="24"/>
      <w:lang w:eastAsia="en-US"/>
      <w14:ligatures w14:val="standardContextual"/>
    </w:rPr>
  </w:style>
  <w:style w:type="paragraph" w:styleId="Subtitle">
    <w:name w:val="Subtitle"/>
    <w:basedOn w:val="Normal"/>
    <w:next w:val="Normal"/>
    <w:link w:val="SubtitleChar"/>
    <w:uiPriority w:val="11"/>
    <w:qFormat/>
    <w:rsid w:val="000821F6"/>
    <w:pPr>
      <w:numPr>
        <w:ilvl w:val="1"/>
      </w:numPr>
    </w:pPr>
    <w:rPr>
      <w:rFonts w:eastAsiaTheme="minorEastAsia"/>
      <w:color w:val="5A5A5A" w:themeColor="text1" w:themeTint="A5"/>
      <w:spacing w:val="15"/>
      <w:sz w:val="22"/>
      <w:szCs w:val="22"/>
    </w:rPr>
  </w:style>
  <w:style w:type="character" w:customStyle="1" w:styleId="SubtitleChar">
    <w:name w:val="Subtitle Char"/>
    <w:basedOn w:val="DefaultParagraphFont"/>
    <w:link w:val="Subtitle"/>
    <w:uiPriority w:val="11"/>
    <w:rsid w:val="000821F6"/>
    <w:rPr>
      <w:color w:val="5A5A5A" w:themeColor="text1" w:themeTint="A5"/>
      <w:spacing w:val="15"/>
      <w:kern w:val="2"/>
      <w:lang w:eastAsia="en-US"/>
      <w14:ligatures w14:val="standardContextual"/>
    </w:rPr>
  </w:style>
  <w:style w:type="character" w:styleId="SubtleEmphasis">
    <w:name w:val="Subtle Emphasis"/>
    <w:basedOn w:val="DefaultParagraphFont"/>
    <w:uiPriority w:val="19"/>
    <w:qFormat/>
    <w:rsid w:val="000821F6"/>
    <w:rPr>
      <w:i/>
      <w:iCs/>
      <w:color w:val="404040" w:themeColor="text1" w:themeTint="BF"/>
    </w:rPr>
  </w:style>
  <w:style w:type="character" w:styleId="SubtleReference">
    <w:name w:val="Subtle Reference"/>
    <w:basedOn w:val="DefaultParagraphFont"/>
    <w:uiPriority w:val="31"/>
    <w:qFormat/>
    <w:rsid w:val="000821F6"/>
    <w:rPr>
      <w:smallCaps/>
      <w:color w:val="5A5A5A" w:themeColor="text1" w:themeTint="A5"/>
    </w:rPr>
  </w:style>
  <w:style w:type="paragraph" w:styleId="TOCHeading">
    <w:name w:val="TOC Heading"/>
    <w:basedOn w:val="Heading1"/>
    <w:next w:val="Normal"/>
    <w:uiPriority w:val="39"/>
    <w:semiHidden/>
    <w:unhideWhenUsed/>
    <w:qFormat/>
    <w:rsid w:val="000821F6"/>
    <w:pPr>
      <w:numPr>
        <w:numId w:val="0"/>
      </w:numPr>
      <w:spacing w:before="240"/>
      <w:outlineLvl w:val="9"/>
    </w:pPr>
    <w:rPr>
      <w:b w:val="0"/>
      <w:bCs w:val="0"/>
      <w:color w:val="365F91"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oter" Target="footer4.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ns30:Sourc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SelectedStyle="\APA.XSL" StyleName="APA"/>
</file>

<file path=customXml/item2.xml><?xml version="1.0" encoding="utf-8"?>
<n-document xmlns:xsd="http://www.w3.org/2001/XMLSchema" xmlns:xsi="http://www.w3.org/2001/XMLSchema-instance" guid="0" synced="true" validated="true">
  <n-docbody>
    <standard.doc precedenttype="agreement">
      <prelim>
        <product.name>product.name0</product.name>
        <title>Confidentiality agreement (one-way; pro-discloser) with data protection provisions</title>
        <author>
          <link href="http://www.practicallaw.com/about/our-team/uk-commercial" style="ACTLinkURL">
            <ital>Practical Law Commercial</ital>
          </link>
        </author>
        <resource.type>Standard documents</resource.type>
        <juris>juris0</juris>
        <juris>juris1</juris>
      </prelim>
      <abstract>
        <para>
          <paratext>A one-way confidentiality agreement (also known as a non-disclosure agreement or NDA) for general commercial purposes, drafted from the discloser's perspective. It includes a data sharing clause (controller to controller) where the confidential information exchanged includes some personal data being shared by one independent controller to another, consistent with the retained EU law version of the General Data Protection Regulation ((EU) 2016/679) (UK GDPR) and the Data Protection Act 2018 (DPA 2018). The clauses can also be adapted for a UK organisation subject to the General Data Protection Regulation ((EU) 2016/679) (EU GDPR).</paratext>
        </para>
      </abstract>
      <toc.identifier hasToc="true"/>
      <body>
        <drafting.note id="a477209" jurisdiction="">
          <head align="left" preservecase="true">
            <headtext>About this document</headtext>
          </head>
          <division id="a000003" level="1">
            <para>
              <paratext>This one-way confidentiality (or non-disclosure) agreement (NDA) is drafted from the discloser's perspective and can be used where the disclosure of confidential information is for a defined purpose. This will usually be a project that the parties are considering undertaking together.</paratext>
            </para>
            <para>
              <paratext>
                This document includes a data protection clause to cover the position if any of the confidential information disclosed includes some personal data on a limited basis as between independent controller to controller, as per the 
                <link href="w-019-6282" style="ACTLinkPLCtoPLC">
                  <ital>retained EU law</ital>
                </link>
                 version of the General Data Protection Regulation (
                <ital>(EU) 2016/679</ital>
                ) (
                <link href="w-026-8528" style="ACTLinkPLCtoPLC">
                  <ital>UK GDPR</ital>
                </link>
                ) which applies in the UK. Retained EU law is known as 
                <link href="w-039-9417" style="ACTLinkPLCtoPLC">
                  <ital>assimilated law</ital>
                </link>
                 for matters arising after the end of 2023, but is referred to in the drafting notes in this resource as retained EU law for consistency.
              </paratext>
            </para>
            <para>
              <paratext>
                Also see 
                <internal.reference refid="a986075">
                  <ital>Drafting note, Confidential information that is personal data</ital>
                </internal.reference>
                 and 
                <internal.reference refid="a584007">
                  <ital>Drafting note, Data protection legislation</ital>
                </internal.reference>
                .
              </paratext>
            </para>
          </division>
          <division id="a113341" level="1">
            <head align="left" preservecase="true">
              <headtext>Purpose of confidentiality agreements</headtext>
            </head>
            <para>
              <paratext>Confidentiality agreements, also known as non-disclosure agreements (NDAs), aim to ensure the following:</paratext>
            </para>
            <list type="bulleted">
              <list.item>
                <para>
                  <paratext>
                    <bold>Preservation of confidentiality.</bold>
                     Confidential information disclosed under the agreement remains confidential and kept secret.
                  </paratext>
                </para>
              </list.item>
              <list.item>
                <para>
                  <paratext>
                    <bold>Use for defined purpose only.</bold>
                     The recipient of confidential information agrees that it will not use the information for any purpose that is not set out in the confidentiality agreement.
                  </paratext>
                </para>
              </list.item>
            </list>
            <para>
              <paratext>
                The best way of ensuring that confidential information is disclosed in circumstances importing an obligation of confidence is through a confidentiality agreement as it is by way of a written contract. In addition to avoiding any question of whether the recipient was on notice that the information was not being disclosed in confidence, a contractual obligation is easier to enforce than a claim under general law. As well as ensuring that recipients sign a confidentiality agreement before a discloser releases confidential information, there are a number of practical steps that holders of confidential information can take to establish and maintain confidentiality, see 
                <internal.reference refid="a966727">
                  <ital>Drafting note, Remedies for breach and practical steps</ital>
                </internal.reference>
                .
              </paratext>
            </para>
          </division>
          <division id="a584007" level="1">
            <head align="left" preservecase="true">
              <headtext>Data protection legislation</headtext>
            </head>
            <para>
              <paratext>
                The 
                <link href="w-026-8528" style="ACTLinkPLCtoPLC">
                  <ital>UK GDPR</ital>
                </link>
                 applies in the UK, along with the 
                <link href="w-014-9417" style="ACTLinkPLCtoPLC">
                  <ital>Data Protection Act 2018</ital>
                </link>
                 (DPA 2018).
              </paratext>
            </para>
            <para>
              <paratext>
                For the purposes of this document we have assumed that we are dealing with organisations based solely in the UK which do not provide goods or services to EU data subjects or monitor their behaviour. For that reason, we refer to compliance with the DPA 2018 and UK GDPR (as they applied from 1 January 2021). However, for further detail on how the data protection clause could be adapted for organisations also subject to the EU GDPR, see 
                <link href="w-011-7560" style="ACTLinkPLCtoPLC">
                  <ital>Standard clause, Personal data sharing clauses (controller to controller, short-form) (UK)</ital>
                </link>
                .
              </paratext>
            </para>
            <para>
              <paratext>
                To see Westlaw UK's version of the UK GDPR under retained EU law, see the 
                <link href="w-027-1020" style="ACTLinkPLCtoPLC">
                  <ital>retained EU law version</ital>
                </link>
                <ital>. </ital>
                Note that, as the government is not publishing definitive legal texts, it is not possible to publish a definitive content set of retained EU law, see 
                <link href="w-022-0489" style="ACTLinkPLCtoPLC">
                  <ital>Guide to identifying retained EU law in Westlaw content</ital>
                </link>
                .
              </paratext>
            </para>
            <para>
              <paratext>
                For further information on the UK GDPR and the DPA 2018, see 
                <link href="w-013-3757" style="ACTLinkPLCtoPLC">
                  <ital>Practice notes, Overview of UK GDPR</ital>
                </link>
                 and 
                <link href="w-014-5998" style="ACTLinkPLCtoPLC">
                  <ital>Data Protection Act 2018: overview</ital>
                </link>
                .
              </paratext>
            </para>
          </division>
          <division id="a512047" level="1">
            <head align="left" preservecase="true">
              <headtext>Legal issues</headtext>
            </head>
            <para>
              <paratext>
                The key legal issues to consider in the context of confidentiality agreements are set out below. For more information on the law of confidentiality, see 
                <link href="8-384-4456" style="ACTLinkPLCtoPLC">
                  <ital>Practice note, Protecting confidential information: overview</ital>
                </link>
                .
              </paratext>
            </para>
            <division id="a548052" level="2">
              <head align="left" preservecase="true">
                <headtext>Limitations of confidentiality agreements</headtext>
              </head>
              <division id="a966727" level="3">
                <head align="left" preservecase="true">
                  <headtext>Remedies for breach and practical steps</headtext>
                </head>
                <para>
                  <paratext>The discloser should be aware that a confidentiality agreement cannot provide an absolute guarantee that the disclosed information will be protected. A confidentiality agreement has limitations, particularly where the recipient has little intention of complying with its obligations under the agreement. If a recipient uses or discloses confidential information in breach of the confidentiality agreement, it may be too late, or at the very least, prohibitively expensive, for the discloser to seek a meaningful remedy:</paratext>
                </para>
                <list type="bulleted">
                  <list.item>
                    <para>
                      <paratext>
                        An injunction (to stop any unauthorised disclosure or use of the information) is the first choice of remedy if the discloser discovers the recipient's intentions before it breaches the confidentiality agreement. After the breach, an injunction may be of little or no use. Once the information has entered the public domain, there is no legal remedy that will make it secret again. See also 
                        <internal.reference refid="a647648">
                          <ital>Drafting note, Inadequacy of damages</ital>
                        </internal.reference>
                         below.
                      </paratext>
                    </para>
                  </list.item>
                  <list.item>
                    <para>
                      <paratext>Damages for breach of contract (or a claim for an account of profits where the recipient has made use of the information) may not be an adequate remedy, especially where the confidential information has potential future value rather than value today.</paratext>
                    </para>
                  </list.item>
                  <list.item>
                    <para>
                      <paratext>Proving that there has been a breach of a confidentiality agreement can often be difficult.</paratext>
                    </para>
                  </list.item>
                  <list.item>
                    <para>
                      <paratext>Even where the recipient is honest and acting in good faith, it will inevitably be influenced by the disclosed confidential information, whatever the terms of the confidentiality agreement.</paratext>
                    </para>
                  </list.item>
                </list>
                <para>
                  <paratext>Given these limitations, a discloser should, in addition to entering into the agreement, put practical measures in place to protect the information. For example:</paratext>
                </para>
                <list type="bulleted">
                  <list.item>
                    <para>
                      <paratext>Disclosing only what is absolutely necessary, particularly where the information is personal data.</paratext>
                    </para>
                  </list.item>
                  <list.item>
                    <para>
                      <paratext>Providing hard copies of information only, although in this increasingly digital age becoming more unlikely.</paratext>
                    </para>
                  </list.item>
                  <list.item>
                    <para>
                      <paratext>Limiting the number of individuals who may receive the information.</paratext>
                    </para>
                  </list.item>
                </list>
                <para>
                  <paratext>
                    For more information, see 
                    <link anchor="a550821" href="8-384-4456" style="ACTLinkPLCtoPLC">
                      <ital>Practice note, Protecting confidential information: overview: Practical steps to establish and maintain confidentiality</ital>
                    </link>
                    .
                  </paratext>
                </para>
              </division>
            </division>
            <division id="a284590" level="2">
              <head align="left" preservecase="true">
                <headtext>Trade secrets and taking reasonable steps</headtext>
              </head>
              <para>
                <paratext>
                  Specifically for the protection of trade secrets (which is a type of confidential information that gives its owner a competitive advantage, such as the Coca-Cola recipe), putting such practical measures in place and evidencing them has arguably become more important since the 
                  <link href="w-014-9127" style="ACTLinkPLCtoPLC">
                    <ital>Trade Secrets (Enforcement, etc) Regulations 2018 (SI 2018/597)</ital>
                  </link>
                   (Trade Secrets Regulations) came into force. The Trade Secrets Regulations implemented the 
                  <link href="w-015-1298" style="ACTLinkPLCtoPLC">
                    <ital>Trade Secrets Directive (2016/943/EU)</ital>
                  </link>
                  <ital> </ital>
                  in the UK and introduced a statutory regime of protecting trade secrets. This statutory protection is intended to co-exist with the more traditional form of protection of trade secrets offered by the equitable doctrine of confidence. The two regimes are intended to be separate legal systems that exist in parallel.
                </paratext>
              </para>
              <para>
                <paratext>
                  The Trade Secrets Regulations introduced a statutory definition of 'trade secret' (
                  <link href="w-014-9386" style="ACTLinkPLCtoPLC">
                    <ital>regulation 2</ital>
                  </link>
                  ) requiring the legal owner to take "reasonable steps under the circumstances to keep it secret". For this reason it is probably even more important for a trade secret owner to evidence the practical steps it has taken to protect its trade secret(s).
                </paratext>
              </para>
              <para>
                <paratext>
                  For further information see 
                  <link href="w-021-1676" style="ACTLinkPLCtoPLC">
                    <ital>Practice note, Protecting trade secrets: overview</ital>
                  </link>
                  .
                </paratext>
              </para>
              <para>
                <paratext>
                  Also see 
                  <internal.reference refid="a993836">
                    <ital>Drafting note, Trade secrets</ital>
                  </internal.reference>
                  .
                </paratext>
              </para>
              <division id="a325211" level="3">
                <head align="left" preservecase="true">
                  <headtext>Public interest considerations</headtext>
                </head>
                <para>
                  <paratext>In certain circumstances, public interest considerations may override confidentiality obligations. For example, where the disclosed information reveals details of crimes or torts committed by the provider of the information.</paratext>
                </para>
                <para>
                  <paratext>
                    In 
                    <link href="D-015-4542" style="ACTLinkPLCtoPLC">
                      <ital>Lion Laboratories Ltd v Evans [1985] QB 526</ital>
                    </link>
                    , Stephenson LJ explained this in terms of a conflict of interest. On the one hand, there is a public interest in preserving the right of organisations and individuals to keep their affairs private and their information confidential. On the other hand, however, the court will examine individual cases carefully if it appears that this interest may be outweighed by a wider interest in making the information available to the general public. If such a case is made out, the discloser will be able to raise a successful defence to a claim that they have revealed confidential information in breach of contractual obligations. This could be relevant where a party who receives confidential information suspects bribery on the part of the disclosing party, and subsequently reports this to the Serious Fraud Office. See the drafting notes relating to permitted disclosure at 
                    <internal.reference refid="a326788">
                      <ital>clause 4</ital>
                    </internal.reference>
                    .
                  </paratext>
                </para>
                <para>
                  <paratext>
                    For more information on public interest considerations, see 
                    <link anchor="a523578" href="8-384-4456" style="ACTLinkPLCtoPLC">
                      <ital>Practice note, Protecting confidential information: overview: Confidentiality obligations and the public interest (iniquity defence)</ital>
                    </link>
                    .
                  </paratext>
                </para>
              </division>
            </division>
            <division id="a760948" level="2">
              <head align="left" preservecase="true">
                <headtext>Solicitors' regulatory obligations relating to use of NDAs</headtext>
              </head>
              <para>
                <paratext>
                  The Solicitors Regulation Authority (SRA)’s 
                  <link href="https://nam02.safelinks.protection.outlook.com/?url=https%3A%2F%2Fwww.sra.org.uk%2Fsolicitors%2Fguidance%2Fnon-disclosure-agreements-ndas%2F&amp;amp;data=05%7C02%7CSarah.Wild%40thomsonreuters.com%7C435c14d682524e2cf8c508dcccb40f9d%7C62ccb8646a1a4b5d8e1c397dec1a8258%7C0%7C0%7C638610320936235128%7CUnknown%7CTWFpbGZsb3d8eyJWIjoiMC4wLjAwMDAiLCJQIjoiV2luMzIiLCJBTiI6Ik1haWwiLCJXVCI6Mn0%3D%7C0%7C%7C%7C&amp;amp;sdata=zwnY3URoTAG3nu1zhrgE6FFSA%2F4UGp%2BQwTSJzpgXHd8%3D&amp;amp;reserved=0" style="ACTLinkURL">
                    <ital>warning notice</ital>
                  </link>
                   (Warning Notice) reminds practitioners of the key issues and risks associated with using or advising on the use of NDAs and confidentiality clauses in any form of agreement or contract.
                </paratext>
              </para>
              <para>
                <paratext>Although the Warning Notice was initially published against the backdrop of the #MeToo campaign and the practice of using NDAs in settlement arrangements as a means of deterring victims of sexual harassment from disclosing details of the misconduct to the authorities, it is not confined to this particular use case, and the Warning Notice is:</paratext>
              </para>
              <list type="bulleted">
                <list.item>
                  <para>
                    <paratext>Relevant to all NDAs regardless of the context in which the NDA arises, including commercial transactions.</paratext>
                  </para>
                </list.item>
                <list.item>
                  <para>
                    <paratext>Applicable even though all parties to the NDA are legally represented, and irrespective of whether the parties are individuals or companies.</paratext>
                  </para>
                </list.item>
                <list.item>
                  <para>
                    <paratext>Directed at anyone who is regulated by the SRA and might negotiate, draft, advise on, enforce or be a party to an NDA.</paratext>
                  </para>
                </list.item>
              </list>
              <para>
                <paratext>Among other things, the Warning Notice highlights that:</paratext>
              </para>
              <list type="bulleted">
                <list.item>
                  <para>
                    <paratext>
                      The use of NDAs is not prohibited by the Warning Notice or the SRA's 
                      <link href="https://www.sra.org.uk/solicitors/standards-regulations/" style="ACTLinkURL">
                        <ital>Standards and Regulations</ital>
                      </link>
                      . However, when acting for a client in a matter involving an NDA, practitioners must comply with their regulatory obligations and should have specific regard to paragraphs 2, 3, 7.5 and 7.7 of the 
                      <link href="https://nam02.safelinks.protection.outlook.com/?url=https%3A%2F%2Fwww.sra.org.uk%2Fsolicitors%2Fstandards-regulations%2Fcode-conduct-solicitors%2F&amp;amp;data=05%7C02%7CSarah.Wild%40thomsonreuters.com%7C435c14d682524e2cf8c508dcccb40f9d%7C62ccb8646a1a4b5d8e1c397dec1a8258%7C0%7C0%7C638610320936251962%7CUnknown%7CTWFpbGZsb3d8eyJWIjoiMC4wLjAwMDAiLCJQIjoiV2luMzIiLCJBTiI6Ik1haWwiLCJXVCI6Mn0%3D%7C0%7C%7C%7C&amp;amp;sdata=2QKa%2Fj8LDpN3zyKJod4McDxxNu76x0pATuTgVbNT9To%3D&amp;amp;reserved=0" style="ACTLinkURL">
                        <ital>SRA Code of Conduct for Solicitors, RELs and RFLs</ital>
                      </link>
                       and paragraphs 1.2, 3.2, 3.9 and 3.10 of the 
                      <link href="https://nam02.safelinks.protection.outlook.com/?url=https%3A%2F%2Fwww.sra.org.uk%2Fsolicitors%2Fstandards-regulations%2Fcode-conduct-firms%2F&amp;amp;data=05%7C02%7CSarah.Wild%40thomsonreuters.com%7C435c14d682524e2cf8c508dcccb40f9d%7C62ccb8646a1a4b5d8e1c397dec1a8258%7C0%7C0%7C638610320936265954%7CUnknown%7CTWFpbGZsb3d8eyJWIjoiMC4wLjAwMDAiLCJQIjoiV2luMzIiLCJBTiI6Ik1haWwiLCJXVCI6Mn0%3D%7C0%7C%7C%7C&amp;amp;sdata=s6nv7XEbjQStLzVMe1f1%2FgvwG9tjExQOwpW4gbUM%2FoM%3D&amp;amp;reserved=0" style="ACTLinkURL">
                        <ital>Code of Conduct for Firms</ital>
                      </link>
                      .
                    </paratext>
                  </para>
                </list.item>
                <list.item>
                  <para>
                    <paratext>
                      Failure to comply with the applicable regulatory obligations or improperly using NDAs may put practitioners in breach of one or more of the 
                      <link href="https://nam02.safelinks.protection.outlook.com/?url=https%3A%2F%2Fwww.sra.org.uk%2Fsolicitors%2Fstandards-regulations%2Fprinciples%2F&amp;amp;data=05%7C02%7CSarah.Wild%40thomsonreuters.com%7C435c14d682524e2cf8c508dcccb40f9d%7C62ccb8646a1a4b5d8e1c397dec1a8258%7C0%7C0%7C638610320936275928%7CUnknown%7CTWFpbGZsb3d8eyJWIjoiMC4wLjAwMDAiLCJQIjoiV2luMzIiLCJBTiI6Ik1haWwiLCJXVCI6Mn0%3D%7C0%7C%7C%7C&amp;amp;sdata=edM0WCHAIMy4%2Frmj3%2BrwuuYxh%2BuR5kpEBuJxc97ErTo%3D&amp;amp;reserved=0" style="ACTLinkURL">
                        <ital>SRA Principles</ital>
                      </link>
                      . A practitioner who uses an NDA improperly or behaves in a way that is in breach of their regulatory obligations is at risk of disciplinary action by the SRA.
                    </paratext>
                  </para>
                </list.item>
                <list.item>
                  <para>
                    <paratext>The SRA considers it improper to use an NDA as a means of preventing, or seeking to impede or deter a person from:</paratext>
                  </para>
                  <list type="bulleted">
                    <list.item>
                      <para>
                        <paratext>co-operating with a criminal investigation or prosecution;</paratext>
                      </para>
                    </list.item>
                    <list.item>
                      <para>
                        <paratext>reporting an offence to a law enforcement agency;</paratext>
                      </para>
                    </list.item>
                    <list.item>
                      <para>
                        <paratext>reporting misconduct, or a serious breach of the SRA's regulatory requirements, or making an equivalent report to any other body responsible for supervising or regulating the matters in question;</paratext>
                      </para>
                    </list.item>
                    <list.item>
                      <para>
                        <paratext>making a protected disclosure under the Public Interest Disclosure Act 1998;</paratext>
                      </para>
                    </list.item>
                    <list.item>
                      <para>
                        <paratext>making any disclosure required by law;</paratext>
                      </para>
                    </list.item>
                    <list.item>
                      <para>
                        <paratext>making a proper disclosure about the agreement or circumstances surrounding the agreement to professional advisers, such as legal or tax advisors and/or medical professionals and counsellors, who are bound by a duty of confidentiality.</paratext>
                      </para>
                    </list.item>
                  </list>
                </list.item>
              </list>
              <list type="bulleted">
                <list.item>
                  <para>
                    <paratext>Confidentiality agreements and clauses or other terms in an agreement which contain an NDA, must not stipulate, or give the impression to the person expected to agree the NDA, that such reporting or disclosure is prohibited.</paratext>
                  </para>
                </list.item>
                <list.item>
                  <para>
                    <paratext>Those dealing with NDAs should make sure that they do not become over reliant on NDA templates and complacent about the risks. Templates should always be specifically tailored to the individual circumstances of each case.</paratext>
                  </para>
                </list.item>
              </list>
              <para>
                <paratext>
                  Although this NDA is drafted for the legitimate purpose of regulating the terms on which the parties are prepared to share confidential information for the purposes of a proposed commercial transaction, practitioners must remain mindful of their professional obligations and the requirements of the Warning Notice. 
                  <bold>As required by the Warning Notice, this document should be used as a starting point, and the draftsperson must be satisfied that, in the context of the commercial transaction they are dealing with, the agreement will not be used improperly.</bold>
                </paratext>
              </para>
              <para>
                <paratext>
                  In particular, it should be noted that while the drafting here does not expressly prohibit reporting or disclosure of confidential information to a regulator or law enforcement agency (and it is arguable that such a term would not be implied), the drafting does not expressly permit such disclosure (except where required by law; see 
                  <internal.reference refid="a207481">
                    <ital>clause 6.1</ital>
                  </internal.reference>
                  ). It is currently unclear whether, in the context of such an NDA, the SRA would consider the absence of an express right to disclose in these circumstances as contravening the requirements of the Warning Notice. However, this could arguably be less likely where:
                </paratext>
              </para>
              <list type="bulleted">
                <list.item>
                  <para>
                    <paratext>As is invariably the case in a proposed commercial transaction, the purpose of the NDA is to limit the use of the disclosed information to the commercial purpose for which it is being disclosed, and is therefore not being used as a means of preventing, or seeking to impede or deter the type of disclosures highlighted in the Warning Notice.</paratext>
                  </para>
                </list.item>
                <list.item>
                  <para>
                    <paratext>There is no significant inequality in the parties' respective bargaining positions.</paratext>
                  </para>
                </list.item>
              </list>
              <para>
                <paratext>However, practitioners should consider the specific circumstances of each commercial transaction on a case-by-case basis and may deem it appropriate to include express provision. Such provision could provide, for example, that the agreement does not restrict the recipient from making a voluntary disclosure to and co-operating with an appliable regulator regarding any misconduct, wrongdoing or reportable breach of a regulatory requirement, or a relevant law enforcement agency regarding any criminal offence.</paratext>
              </para>
            </division>
            <division id="a766628" level="2">
              <head align="left" preservecase="true">
                <headtext>Restraint of trade considerations</headtext>
              </head>
              <para>
                <paratext>Under the law of confidentiality, the protection of confidential information is a recognised ground on which restraint of trade may be justified. However, as with non-solicitation, non-compete, non-circumvention clauses and the like, the same considerations apply to restraint of trade provisions; is the restriction, or restraint, a reasonable one (in duration, scope and territory, if applicable) for the legitimate protection of the disclosing party's business? If it is not, the restriction may not be valid.</paratext>
              </para>
              <para>
                <paratext>In practice a confidentiality agreement can be difficult to both police and enforce. In particular, proving misuse can be very difficult. An effective non-compete clause may be easier to enforce and the one should not be viewed as a substitute for the other.</paratext>
              </para>
              <para>
                <paratext>
                  In 
                  <link href="D-106-1455" style="ACTLinkPLCtoPLC">
                    <ital>Harcus Sinclair LLP and another v Your Lawyers Ltd [2021] UKSC 32</ital>
                  </link>
                  , the Supreme Court said that a non-compete undertaking may be needed even if a party were simply seeking to protect confidential information. This is because it is often difficult to prove what is and what is not confidential information and, in particular, whether that information has been misused. A non-compete undertaking may be a useful means of ensuring that confidential information is protected without needing to prove, through protracted litigation, that the information has been misused. On this point, the court cited 
                  <link href="D-015-4299" style="ACTLinkPLCtoPLC">
                    <ital>Littlewoods Organisation Ltd v Harris [1977] 1 WLR 1472, 1479</ital>
                  </link>
                   and 
                  <link href="D-000-2999" style="ACTLinkPLCtoPLC">
                    <ital>Thomas v Farr Plc [2007] EWCA Civ 118</ital>
                  </link>
                  . (See 
                  <link href="w-032-0371" style="ACTLinkPLCtoPLC">
                    <ital>Legal update, Legitimate interests in a non-compete include non-contractual intentions (Supreme Court)</ital>
                  </link>
                  <ital>.</ital>
                  )
                </paratext>
              </para>
              <para>
                <paratext>
                  For a more detailed discussion on how confidential information inter-relates with restrictive covenants, see 
                  <link anchor="a875756" href="w-001-8218" style="ACTLinkPLCtoPLC">
                    <ital>Practice note, Restraint of trade in commercial and corporate contracts: Business secrets and confidentiality</ital>
                  </link>
                  .
                </paratext>
              </para>
            </division>
            <division id="a783706" level="2">
              <head align="left" preservecase="true">
                <headtext>Requirement for consideration</headtext>
              </head>
              <para>
                <paratext>
                  Where a confidentiality agreement is structured as a simple contract, it must be supported by 
                  <link href="3-107-5984" style="ACTLinkPLCtoPLC">
                    <ital>consideration</ital>
                  </link>
                   to be enforceable (see 
                  <link anchor="a673916" href="3-107-4828" style="ACTLinkPLCtoPLC">
                    <ital>Practice note, Contracts: formation: Consideration</ital>
                  </link>
                  ).
                </paratext>
              </para>
              <para>
                <paratext>In most situations, the consideration for the recipient's confidentiality obligations is the disclosure of the information by the discloser, so the requirement for consideration is met.</paratext>
              </para>
              <para>
                <paratext>But issues regarding adequate consideration can arise in some situations, such as where the confidential information is disclosed before the confidentiality agreement is signed. Past consideration is usually no consideration. In this instance, the parties could deal with such risk in one of the following ways:</paratext>
              </para>
              <list type="bulleted">
                <list.item>
                  <para>
                    <paratext>
                      <bold>Deed.</bold>
                       The agreement could be executed as a deed, as deeds are generally enforceable despite a lack of consideration (see 
                      <link anchor="a473376" href="0-380-8400" style="ACTLinkPLCtoPLC">
                        <ital>Practice note, Execution of deeds and documents: When is a deed required?</ital>
                      </link>
                      ).
                    </paratext>
                  </para>
                </list.item>
                <list.item>
                  <para>
                    <paratext>
                      <bold>Nominal consideration.</bold>
                       The parties could give additional consideration in the form of a payment of a nominal sum of money.
                    </paratext>
                  </para>
                </list.item>
              </list>
            </division>
            <division id="a986075" level="2">
              <head align="left" preservecase="true">
                <headtext>Confidential information that is personal data</headtext>
              </head>
              <para>
                <paratext>
                  If the confidential information disclosed under the NDA will, or may, include personal data additional considerations will apply in relation to the collection, handling and storage of such data (see 
                  <link anchor="a415073" href="w-013-3757" style="ACTLinkPLCtoPLC">
                    <ital>Practice note, Overview of UK GDPR: Personal data</ital>
                  </link>
                  ). Please note that it is not envisaged under this agreement that a significant amount of personal data is being disclosed; it is assumed that the personal data is limited.
                </paratext>
              </para>
              <division id="a664773" level="3">
                <head align="left" preservecase="true">
                  <headtext>Controller to controller, or controller to processor?</headtext>
                </head>
                <para>
                  <paratext>
                    The main issue that the parties need to determine in this regard is the nature of their relationship: is it that of a 
                    <link href="5-107-5723" style="ACTLinkPLCtoPLC">
                      <ital>controller</ital>
                    </link>
                     to controller, or a controller to 
                    <link anchor="a966142" href="w-013-3757" style="ACTLinkPLCtoPLC">
                      <ital>processor</ital>
                    </link>
                    ? The UK GDPR defines controller as "the natural or legal person, public authority, agency or other body which, alone or jointly with others, determines the purposes and means of the processing of personal data".
                  </paratext>
                </para>
                <para>
                  <paratext>Broadly, a controller determines the means and purpose of the processing of the personal data, and a processor acts on the instructions of the controller.</paratext>
                </para>
                <para>
                  <paratext>
                    The UK GDPR does not define "data sharing" as such, but some of the issues that require addressing can be found in Article 26, which deals with 
                    <link href="w-014-8186" style="ACTLinkPLCtoPLC">
                      <ital>joint controllers</ital>
                    </link>
                    . The UK GDPR also deals with data transfers, and of course, data processing. Presumably, a separate article dealing with controller to controller data sharing was perceived as unnecessary, given that independent controllers must comply with the UK GDPR in any event.
                  </paratext>
                </para>
                <para>
                  <paratext>The parties must consider their relationship carefully in this regard, not only to establish their respective responsibilities but because if one is a controller and the other is a processor in respect of the same personal data, there are several mandatory provisions that must be documented in a binding written processing agreement.</paratext>
                </para>
                <para>
                  <paratext>
                    For more information about this distinction, see 
                    <link anchor="a332247" href="w-013-3757" style="ACTLinkPLCtoPLC">
                      <ital>Practice notes, Overview of UK GDPR: Controller</ital>
                    </link>
                     and 
                    <link anchor="a966142" href="w-013-3757" style="ACTLinkPLCtoPLC">
                      <ital>Processor</ital>
                    </link>
                    <ital>.</ital>
                  </paratext>
                </para>
                <para>
                  <paratext>
                    For a checklist of issues to consider when determining whether a party is a controller or a processor, see 
                    <link href="w-019-8440" style="ACTLinkPLCtoPLC">
                      <ital>Controller or processor? (UK and EU): checklist</ital>
                    </link>
                    .
                  </paratext>
                </para>
                <para>
                  <paratext>
                    Also see 
                    <internal.reference refid="a584007">
                      <ital>Drafting note, Data protection legislation</ital>
                    </internal.reference>
                    .
                  </paratext>
                </para>
              </division>
              <division id="a881824" level="3">
                <head align="left" preservecase="true">
                  <headtext>Approach in this document</headtext>
                </head>
                <para>
                  <paratext>
                    This standard document includes a personal data sharing provision at 
                    <internal.reference refid="a272658">
                      <ital>clause 5</ital>
                    </internal.reference>
                    , on the assumption that the discloser will be disclosing personal data to the recipient as between
                    <bold> </bold>
                    one independent controller to another controller and that:
                  </paratext>
                </para>
                <list type="bulleted">
                  <list.item>
                    <para>
                      <paratext>The personal data is disclosed to a limited category of recipients.</paratext>
                    </para>
                  </list.item>
                  <list.item>
                    <para>
                      <paratext>
                        The personal data itself relates to a limited category of 
                        <link href="0-107-5725" style="ACTLinkPLCtoPLC">
                          <ital>data subject</ital>
                        </link>
                        .
                      </paratext>
                    </para>
                  </list.item>
                  <list.item>
                    <para>
                      <paratext>The disclosure is for a limited and clearly defined purpose.</paratext>
                    </para>
                  </list.item>
                </list>
                <para>
                  <paratext>
                    The notion of independent controllers is different to "joint controllers": joint controllers is where two or more controllers jointly determine the reason and the extent of the processing and the technical means and methods of the processing. It is unlikely that parties to a confidentiality agreement in a commercial setting will be joint controllers in that they will not usually have agreed the technical means and methods of processing, but both parties should be alive to this issue. For more information on joint controllers, see 
                    <link anchor="a698912" href="w-013-3757" style="ACTLinkPLCtoPLC">
                      <ital>Practice note, Overview of UK GDPR: Joint controllers</ital>
                    </link>
                    .
                  </paratext>
                </para>
                <para>
                  <paratext>
                    <internal.reference refid="a272658">
                      <ital>clause 5</ital>
                    </internal.reference>
                     is intended to be a starting point to prompt the parties to consider their data sharing or processing activities in order to decide whether they need:
                  </paratext>
                </para>
                <list type="bulleted">
                  <list.item>
                    <para>
                      <paratext>
                        A more complex data sharing agreement as controller to controller, for which see 
                        <link href="w-014-5640" style="ACTLinkPLCtoPLC">
                          <ital>Standard document, Data Sharing Agreement (controller to controller) (UK)</ital>
                        </link>
                        . For information on data sharing arrangements, see 
                        <link href="w-018-8492" style="ACTLinkPLCtoPLC">
                          <ital>Practice note, Overview of data sharing arrangements: UK GDPR and DPA 2018</ital>
                        </link>
                        .
                      </paratext>
                    </para>
                  </list.item>
                  <list.item>
                    <para>
                      <paratext>
                        A different data sharing provision altogether as their relationship is in fact that of controller to processor (see 
                        <link href="w-027-8411" style="ACTLinkPLCtoPLC">
                          <ital>Standard clauses, Data processing clauses (UK)</ital>
                        </link>
                        ).
                      </paratext>
                    </para>
                  </list.item>
                </list>
                <para>
                  <paratext>
                    If the personal data being shared is more large scale or high risk, the data protection provisions here are likely to require supplementing. For further information and resources on this, see the 
                    <link href="https://uk.practicallaw.thomsonreuters.com/Topic/2-616-6187?sv=1-614-3506&amp;amp;transitionType=Default&amp;amp;contextData=%28sc.Default%29" style="ACTLinkURL">
                      <ital>Data sharing topic page</ital>
                    </link>
                    .
                  </paratext>
                </para>
                <para>
                  <paratext>
                    For a confidentiality agreement (one-way; pro-discloser), with no data protection provisions (as none of the confidential information being disclosed is personal data), see 
                    <link href="5-384-0493" style="ACTLinkPLCtoPLC">
                      <ital>Standard document, Confidentiality agreement (one-way; pro-discloser)</ital>
                    </link>
                    .
                  </paratext>
                </para>
                <para>
                  <paratext>
                    For more information on data protection in the context of a corporate transaction using an NDA, see 
                    <link anchor="a227146" href="w-014-9200" style="ACTLinkPLCtoPLC">
                      <ital>Practice note, Data protection in corporate transactions (UK): NDAs and personal data</ital>
                    </link>
                    .
                  </paratext>
                </para>
              </division>
            </division>
            <division id="a935421" level="2">
              <head align="left" preservecase="true">
                <headtext>Capping liability</headtext>
              </head>
              <para>
                <paratext>
                  In a commercial setting, an NDA is usually a precursor to the parties' subsequent broader commercial relationship. As the transactional risks would not be known at this early stage, it would be difficult for the parties to assess their risk exposure and reflect this in the form of a limitation of liability clause in the NDA. This is also a pro-discloser version of a one-way NDA and a cap on liability would most likely benefit the recipient under such an agreement. As such, this document does not include a limitation clause, in the same way as 
                  <link href="5-384-0493" style="ACTLinkPLCtoPLC">
                    <ital>Standard document, Confidentiality agreement (one-way; pro-discloser)</ital>
                  </link>
                  , without data protection provisions, does not. Given that the purpose of an NDA in a commercial context is to facilitate and govern the sharing of information at the start of a relationship, the substantial terms of the parties' relationship (including any limitation of liability) is likely to be more appropriately addressed in the ensuing negotiated commercial agreement.
                </paratext>
              </para>
              <para>
                <paratext>
                  For more information on drafting liability clauses, see 
                  <link href="2-520-5359" style="ACTLinkPLCtoPLC">
                    <ital>Practice note, Limiting liability: drafting and negotiating</ital>
                  </link>
                  .
                </paratext>
              </para>
              <division id="a590831" level="3">
                <head align="left" preservecase="true">
                  <headtext>Limiting liability for data protection breaches</headtext>
                </head>
                <para>
                  <paratext>
                    In this document, "personal data" is included in the definition of confidential information (see 
                    <internal.reference refid="a397587">
                      <ital>clause 2</ital>
                    </internal.reference>
                    ) and since there is no wider limitation clause, it would seem that distinguishing between liability for loss arising from a breach of confidentiality as opposed to a breach involving personal data and trying to cap liability for the latter is likely to be problematic. Further, given the obligations under data protection law not to process data more than is necessary, the disclosure of personal data under an NDA should be minimal.
                  </paratext>
                </para>
              </division>
            </division>
            <division id="a215681" level="2">
              <head align="left" preservecase="true">
                <headtext>Indemnity in a confidentiality agreement</headtext>
              </head>
              <para>
                <paratext>
                  This document contains an indemnity in favour of the discloser to cover any losses arising from the misuse or unauthorised disclosure of confidential information by the recipient. This is often asked for on the basis that indemnities may offer the indemnified party a number of potential advantages over a claim for breach of contract. See 
                  <internal.reference refid="a464897">
                    <ital>Drafting note, Indemnity</ital>
                  </internal.reference>
                  .
                </paratext>
              </para>
              <para>
                <paratext>
                  The inclusion of a general indemnity in this one-way (pro-discloser) agreement includes any breach of the recipient's data protection obligations in 
                  <internal.reference refid="a272658">
                    <ital>clause 5</ital>
                  </internal.reference>
                  .
                </paratext>
              </para>
            </division>
            <division id="a863684" level="2">
              <head align="left" preservecase="true">
                <headtext>Legal restrictions on disclosure of information</headtext>
              </head>
              <para>
                <paratext>The parties need to be aware that legal restrictions may prevent the disclosure of certain information by the discloser to the recipient. For example:</paratext>
              </para>
              <list type="bulleted">
                <list.item>
                  <para>
                    <paratext>
                      <bold>Official secrets.</bold>
                       A party who is a government contractor may be subject to restrictions under official secrecy legislation.
                    </paratext>
                  </para>
                </list.item>
                <list.item>
                  <para>
                    <paratext>
                      <bold>Other confidentiality obligations.</bold>
                       A party may be under a confidentiality obligation owed to a third party. For example, a contractual confidentiality clause in that other contract.
                    </paratext>
                  </para>
                </list.item>
              </list>
            </division>
            <division id="a481255" level="2">
              <head align="left" preservecase="true">
                <headtext>Public bodies: Freedom of Information Act 2000 and the Environmental Information Regulations 2004</headtext>
              </head>
              <para>
                <paratext>
                  Public bodies are obliged by the 
                  <link href="4-505-6037" style="ACTLinkPLCtoPLC">
                    <ital>Freedom of Information Act 2000</ital>
                  </link>
                   (FOIA) and the 
                  <link href="3-508-2782" style="ACTLinkPLCtoPLC">
                    <ital>Environmental Information Regulations 2004 (SI 2004/3391)</ital>
                  </link>
                   (EIR) to disclose certain information on request, to anyone asking for it, subject to various exemptions. This includes information belonging to a third party which is held by a public authority, even if the third party has imposed confidentiality obligations on the public authority.
                </paratext>
              </para>
              <para>
                <paratext>A private entity that enters into a confidentiality agreement with a public authority should be aware that the information it provides to the public authority pursuant to that confidentiality agreement may be disclosed if that public authority becomes subject to an FOIA or EIR request. Neither the FOIA nor the EIR require a public authority to give notice to, consult, or inform third parties that may be affected by a disclosure before making that disclosure. However, it is good practice for a public authority to do so. A public authority may be prepared to agree to use reasonable endeavours to notify the third party that they have received a request for information affecting that party.</paratext>
              </para>
              <para>
                <paratext>
                  For an example of a boilerplate clause reflecting the FOIA and EIR regimes for use in a contract with a public sector body, see 
                  <link href="4-501-5075" style="ACTLinkPLCtoPLC">
                    <ital>Standard clause, Public sector boilerplate: Freedom of information</ital>
                  </link>
                  .
                </paratext>
              </para>
              <para>
                <paratext>For more information on the FOIA and EIR regimes, see Practice notes:</paratext>
              </para>
              <list type="bulleted">
                <list.item>
                  <para>
                    <paratext>
                      <link href="0-200-9452" style="ACTLinkPLCtoPLC">
                        <ital>Freedom of information</ital>
                      </link>
                      .
                    </paratext>
                  </para>
                </list.item>
                <list.item>
                  <para>
                    <paratext>
                      <link href="4-205-5357" style="ACTLinkPLCtoPLC">
                        <ital>Environmental Information Regulations 2004</ital>
                      </link>
                      .
                    </paratext>
                  </para>
                </list.item>
              </list>
            </division>
          </division>
          <division id="a602887" level="1">
            <head align="left" preservecase="true">
              <headtext>Drafting assumptions</headtext>
            </head>
            <para>
              <paratext>This agreement has been drafted on the following assumptions:</paratext>
            </para>
            <list type="bulleted">
              <list.item>
                <para>
                  <paratext>
                    <bold>Private companies established in the UK.</bold>
                     The parties are private companies, established in the UK for data protection purposes (see 
                    <link anchor="a164136" href="w-013-3757" style="ACTLinkPLCtoPLC">
                      <ital>Practice note, Overview of UK GDPR</ital>
                    </link>
                    ) and neither are public authorities subject to the FOIA or EIR regimes. See 
                    <internal.reference refid="a481255">
                      <ital>Drafting note, Public bodies: Freedom of Information Act 2000 and the Environmental Information Regulations 2004</ital>
                    </internal.reference>
                    . The parties have been defined in this agreement as "Party 1" and "Party 2" (as the discloser and recipient respectively) but "Party 1" and "Party 2" should be substituted with appropriate short-form company names.
                  </paratext>
                </para>
              </list.item>
              <list.item>
                <para>
                  <paratext>
                    <bold>One-way disclosure.</bold>
                     Only one party is disclosing the confidential information and the drafting is weighted in favour of the discloser. If the disclosure of confidential information will be mutual, see 
                    <internal.reference refid="a558263">
                      <ital>Drafting note, Alternative agreements</ital>
                    </internal.reference>
                    .
                  </paratext>
                </para>
              </list.item>
              <list.item>
                <para>
                  <paratext>
                    <bold>Specific purpose.</bold>
                     The disclosure of confidential information is for a defined purpose.
                  </paratext>
                </para>
              </list.item>
              <list.item>
                <para>
                  <paratext>
                    <bold>Data protection. </bold>
                    Some of the information being disclosed will, or may, constitute personal data under the UK GDPR and the relationship of the parties is that of controller to controller (as opposed to controller to processor). The UK GDPR defines "controller" as "the natural or legal person, public authority, agency or other body which, alone or jointly with others, determines the purposes and means of the processing of personal data". The parties are independent of one another and each separately responsible for its own data processing activities.
                  </paratext>
                </para>
              </list.item>
              <list.item>
                <para>
                  <paratext>
                    <bold>Timing of disclosure.</bold>
                     The confidentiality agreement is entered into before any information is disclosed, although there is optional wording to cover the scenario where confidential information is disclosed before the agreement is signed.
                  </paratext>
                </para>
              </list.item>
              <list.item>
                <para>
                  <paratext>
                    <bold>Governing law.</bold>
                     The confidentiality agreement is governed by the law of England and Wales.
                  </paratext>
                </para>
              </list.item>
            </list>
          </division>
          <division id="a558263" level="1">
            <head align="left" preservecase="true">
              <headtext>Alternative agreements</headtext>
            </head>
            <para>
              <paratext>For other versions of confidentiality agreements with data protection provisions, see Standard documents:</paratext>
            </para>
            <list type="bulleted">
              <list.item>
                <para>
                  <paratext>
                    <link href="w-020-2543" style="ACTLinkPLCtoPLC">
                      <ital>Confidentiality agreement (mutual) with data protection provisions</ital>
                    </link>
                    .
                  </paratext>
                </para>
              </list.item>
              <list.item>
                <para>
                  <paratext>
                    <link href="w-021-4831" style="ACTLinkPLCtoPLC">
                      <ital>Confidentiality agreement (one-way; pro-recipient) with data protection provisions</ital>
                    </link>
                    <ital>.</ital>
                  </paratext>
                </para>
              </list.item>
              <list.item>
                <para>
                  <paratext>
                    <link href="w-040-9630" style="ACTLinkPLCtoPLC">
                      <ital>Confidentiality agreement (multi-party) with data protection provisions</ital>
                    </link>
                    .
                  </paratext>
                </para>
              </list.item>
            </list>
            <para>
              <paratext>
                For more examples of confidentiality agreements and further resources on confidentiality generally, see 
                <link href="8-619-5865" style="ACTLinkPLCtoPLC">
                  <ital>Confidentiality and non-disclosure agreements toolkit</ital>
                </link>
                .
              </paratext>
            </para>
          </division>
        </drafting.note>
        <cover.sheet>
          <head align="left" preservecase="true">
            <headtext>Confidentiality agreement (one-way; pro-discloser)</headtext>
          </head>
          <party.name>Party 1</party.name>
          <AdditionalPartyType>
            <static.and>and</static.and>
            <party.name>Party 2</party.name>
          </AdditionalPartyType>
        </cover.sheet>
        <intro default="true">
          <intro.date>This agreement is dated [DATE]</intro.date>
        </intro>
        <parties>
          <head align="left" preservecase="true">
            <headtext>PARTIES</headtext>
          </head>
          <party executionmethod="contract" id="a153808" status="individual">
            <identifier>(1)</identifier>
            <defn.item>
              <defn>
                <para>
                  <paratext>[FULL COMPANY NAME] incorporated and registered in England and Wales with company number [NUMBER] whose registered office is at [REGISTERED OFFICE ADDRESS]</paratext>
                </para>
              </defn>
              <defn.term>Party 1</defn.term>
            </defn.item>
          </party>
          <party executionmethod="contract" id="a165674" status="individual">
            <identifier>(2)</identifier>
            <defn.item>
              <defn>
                <para>
                  <paratext>[FULL COMPANY NAME] incorporated and registered in England and Wales with company number [NUMBER] whose registered office is at [REGISTERED OFFICE ADDRESS]</paratext>
                </para>
              </defn>
              <defn.term>Party 2</defn.term>
            </defn.item>
          </party>
        </parties>
        <recitals>
          <head align="left" preservecase="true">
            <headtext>BACKGROUND</headtext>
          </head>
          <clause id="a75191">
            <identifier>(A)</identifier>
            <para>
              <paratext>The parties intend to enter into discussions relating to the Purpose which will involve the disclosure of confidential information from Party 1 to Party 2.</paratext>
            </para>
          </clause>
          <clause id="a992330">
            <identifier>(B)</identifier>
            <para>
              <paratext>The parties have agreed to comply with this agreement in connection with the disclosure and use of Confidential Information.</paratext>
            </para>
          </clause>
        </recitals>
        <operative xrefname="clause">
          <head align="left" preservecase="true">
            <headtext>Agreed terms</headtext>
          </head>
          <clause id="a80007">
            <identifier>1.</identifier>
            <head align="left" preservecase="true">
              <headtext>Interpretation</headtext>
            </head>
            <drafting.note id="a706076" jurisdiction="">
              <head align="left" preservecase="true">
                <headtext>Interpretation</headtext>
              </head>
              <division id="a000004" level="1">
                <para>
                  <paratext>This interpretation clause only includes provisions which are relevant to this document.</paratext>
                </para>
                <para>
                  <paratext>
                    For a full list of interpretation clauses and information on these, see the drafting notes in 
                    <link href="5-107-3795" style="ACTLinkPLCtoPLC">
                      <ital>Standard clause, Interpretation</ital>
                    </link>
                    . Also see 
                    <link anchor="a420460" href="w-014-1583" style="ACTLinkPLCtoPLC">
                      <ital>Practice note, Boilerplate: do I really need this clause and why?: Interpretation</ital>
                    </link>
                    .
                  </paratext>
                </para>
              </division>
            </drafting.note>
            <subclause1 id="a1019143">
              <identifier>1.1</identifier>
              <para>
                <paratext>Definitions:</paratext>
              </para>
              <drafting.note id="a339868" jurisdiction="">
                <head align="left" preservecase="true">
                  <headtext>Definitions</headtext>
                </head>
                <division id="a000005" level="1">
                  <list type="bulleted">
                    <list.item>
                      <para>
                        <paratext>Delete any definition that is not used in this agreement. A word search on a definition will reveal whether it is used or not.</paratext>
                      </para>
                    </list.item>
                    <list.item>
                      <para>
                        <paratext>Consider whether any definitions need to be added.</paratext>
                      </para>
                    </list.item>
                    <list.item>
                      <para>
                        <paratext>Check each definition carefully to make sure it means what you intend it to mean and amend where necessary.</paratext>
                      </para>
                    </list.item>
                    <list.item>
                      <para>
                        <paratext>Be consistent. Where a capitalised term is used, do not introduce it without capitals elsewhere in the agreement or use a different form of words to mean the same thing.</paratext>
                      </para>
                    </list.item>
                  </list>
                  <para>
                    <paratext>
                      Also see 
                      <link anchor="a664235" href="w-014-1583" style="ACTLinkPLCtoPLC">
                        <ital>Practice note, Boilerplate: do I really need this clause and why?: Definitions</ital>
                      </link>
                      .
                    </paratext>
                  </para>
                </division>
              </drafting.note>
              <defn.item id="a626316">
                <defn.term>Business Day</defn.term>
                <defn>
                  <para>
                    <paratext>a day other than a Saturday, Sunday or public holiday in England when banks in London are open for business.</paratext>
                  </para>
                  <para>
                    <paratext>
                      <bold>Business Hours</bold>
                      : the period from [9.00 am to 5.00 pm] on any Business Day.
                    </paratext>
                  </para>
                </defn>
              </defn.item>
              <defn.item id="a212684">
                <defn.term>Confidential Information</defn.term>
                <defn>
                  <para>
                    <paratext>
                      has the meaning given in 
                      <internal.reference refid="a397587">
                        <ital>clause 2</ital>
                      </internal.reference>
                      .
                    </paratext>
                  </para>
                </defn>
              </defn.item>
              <defn.item id="a230312">
                <defn.term>Controller, processor, data subject, personal data, personal data breach, processing and appropriate technical and organisational measures</defn.term>
                <defn>
                  <para>
                    <paratext>as set out in the Data Protection Legislation in force at the time.</paratext>
                  </para>
                  <para>
                    <paratext>
                      <bold>Data Protection Legislation</bold>
                      : all applicable data protection and privacy legislation in force from time to time in the UK including the UK GDPR; the Data Protection Act 2018 (DPA 2018) (and regulations made thereunder); the Privacy and Electronic Communications Regulations 2003 (SI 2003/2426) as amended] [and all other legislation and regulatory requirements in force from time to time which apply to a party relating to the use of personal data (including, without limitation, the privacy of electronic communications)]; [and the guidance and codes of practice issued by the Information Commissioner or other relevant regulatory authority and applicable to a party].].
                    </paratext>
                  </para>
                  <para>
                    <paratext>
                      <bold>OR</bold>
                    </paratext>
                  </para>
                  <para>
                    <paratext>
                      <bold>Data Protection Legislation</bold>
                      :
                    </paratext>
                  </para>
                  <list type="loweralpha">
                    <list.item>
                      <para>
                        <paratext>To the extent the UK GDPR applies, the law of the United Kingdom or of a part of the United Kingdom which relates to the protection of personal data.</paratext>
                      </para>
                    </list.item>
                    <list.item>
                      <para>
                        <paratext>To the extent the EU GDPR applies, the law of the European Union or any member state of the European Union to which the party is subject, which relates to the protection of personal data.]</paratext>
                      </para>
                    </list.item>
                  </list>
                  <para>
                    <paratext>
                      <bold>EU GDPR</bold>
                      : the General Data Protection Regulation ((EU) 2016/679).
                    </paratext>
                  </para>
                  <para>
                    <paratext>
                      <bold>UK GDPR</bold>
                      : has the meaning given to it in section 3(10) (as supplemented by section 205(4)) of the Data Protection Act 2018.
                    </paratext>
                  </para>
                </defn>
                <drafting.note id="a945282" jurisdiction="">
                  <head align="left" preservecase="true">
                    <headtext>Data Protection Legislation</headtext>
                  </head>
                  <division id="a000007" level="1">
                    <para>
                      <paratext>
                        See 
                        <link anchor="a458298" href="w-011-7560" style="ACTLinkPLCtoPLC">
                          <ital>Standard clause, Personal data sharing clauses (controller to controller, short-form) (UK): Data Protection Legislation</ital>
                        </link>
                        .
                      </paratext>
                    </para>
                  </division>
                </drafting.note>
              </defn.item>
              <defn.item condition="optional" id="a762886">
                <defn.term>Group</defn.term>
                <defn>
                  <para>
                    <paratext>in relation to a company, that company, any subsidiary or holding company from time to time of that company, and any subsidiary from time to time of a holding company of that company. Each company in a Group is a member of the Group.</paratext>
                  </para>
                </defn>
                <drafting.note id="a521923" jurisdiction="">
                  <head align="left" preservecase="true">
                    <headtext>Group and Group Company (optional definitions)</headtext>
                  </head>
                  <division id="a000008" level="1">
                    <para>
                      <paratext>
                        The definition of group includes any two or more companies in a holding company or subsidiary relationship. This should be considered together with the definitions of "subsidiary" and "holding company" in 
                        <internal.reference refid="a181236">
                          <ital>clause 1.6</ital>
                        </internal.reference>
                         (see 
                        <internal.reference refid="a903729">
                          <ital>Drafting note, Holding company and subsidiary</ital>
                        </internal.reference>
                         below).
                      </paratext>
                    </para>
                    <para>
                      <paratext>Omit this defined term and the definition of Group Company if neither party is part of a corporate group or if the parties are certain that none of their group members will be receiving or providing confidential information.</paratext>
                    </para>
                  </division>
                </drafting.note>
              </defn.item>
              <defn.item condition="optional" id="a842422">
                <defn.term>Group Company</defn.term>
                <defn>
                  <para>
                    <paratext>in relation to a company, any member of its Group.</paratext>
                  </para>
                </defn>
              </defn.item>
              <defn.item id="a242863">
                <defn.term>Holding company</defn.term>
                <defn>
                  <para>
                    <paratext>
                      has the meaning give in 
                      <internal.reference refid="a181236">
                        <ital>clause 1.6</ital>
                      </internal.reference>
                      .
                    </paratext>
                  </para>
                </defn>
              </defn.item>
              <defn.item id="a711902">
                <defn.term>Purpose</defn.term>
                <defn>
                  <para>
                    <paratext>[STATE THE PURPOSE, FOR EXAMPLE, THE EVALUATION OR ESTABLISHMENT OF A COLLABORATION IN RESPECT OF A PARTICULAR PROJECT].</paratext>
                  </para>
                </defn>
                <drafting.note id="a737488" jurisdiction="">
                  <head align="left" preservecase="true">
                    <headtext>Purpose</headtext>
                  </head>
                  <division id="a000009" level="1">
                    <para>
                      <paratext>Before commencing any confidential discussions, the parties need to be clear about the purpose of working together.</paratext>
                    </para>
                    <para>
                      <paratext>
                        A wide and generic definition may seem convenient, for example, "discussions relating to prospective IT services", particularly in the very early stages where the detailed purpose is not defined yet. But this should be resisted as it may inadvertently cover information which was not intended to be confidential, thus placing an unnecessarily wide confidentiality obligation on the recipient. This could potentially jeopardise the effectiveness of the agreement, see 
                        <internal.reference refid="a1037342">
                          <ital>Drafting note, Confidential information</ital>
                        </internal.reference>
                         at 
                        <internal.reference refid="a397587">
                          <ital>clause 2</ital>
                        </internal.reference>
                         below.
                      </paratext>
                    </para>
                  </division>
                </drafting.note>
              </defn.item>
              <defn.item id="a539302">
                <defn.term>Representative(s)</defn.term>
                <defn>
                  <para>
                    <paratext>in relation to each party [and any member of its Group]:</paratext>
                  </para>
                  <list type="loweralpha">
                    <list.item>
                      <para>
                        <paratext>its officers and employees that need to know the Confidential Information for the Purpose;</paratext>
                      </para>
                    </list.item>
                    <list.item>
                      <para>
                        <paratext>its professional advisers or consultants who are engaged to advise that party [and/or any member of its Group] in connection with the Purpose;</paratext>
                      </para>
                    </list.item>
                    <list.item>
                      <para>
                        <paratext>its contractors and sub-contractors engaged by that party [and/or any member of its Group] in connection with the Purpose; and</paratext>
                      </para>
                    </list.item>
                    <list.item>
                      <para>
                        <paratext>any other person to whom the other party agrees in writing that Confidential Information may be disclosed in connection with the Purpose.</paratext>
                      </para>
                    </list.item>
                  </list>
                </defn>
                <drafting.note id="a548631" jurisdiction="">
                  <head align="left" preservecase="true">
                    <headtext>Representatives</headtext>
                  </head>
                  <division id="a000010" level="1">
                    <para>
                      <paratext>The parties will need to involve others in the process of evaluating the confidential information because:</paratext>
                    </para>
                    <list type="bulleted">
                      <list.item>
                        <para>
                          <paratext>The agreement assumes that the parties are companies, so they will need to work through their employees, directors and consultants.</paratext>
                        </para>
                      </list.item>
                      <list.item>
                        <para>
                          <paratext>The parties may require advisers to assist with the transaction. For example, lawyers, financial advisers and funders.</paratext>
                        </para>
                      </list.item>
                    </list>
                    <para>
                      <paratext>The agreement therefore needs to specify the third parties to whom the discloser agrees the recipient may share its confidential information, and to impose conditions on what those third parties may and may not do with the confidential information.</paratext>
                    </para>
                    <para>
                      <paratext>Representatives is defined to include:</paratext>
                    </para>
                    <list type="bulleted">
                      <list.item>
                        <para>
                          <paratext>
                            Representatives, not only of each party, but also of any group companies of either party. This may not be relevant if neither party is part of a corporate group. See 
                            <internal.reference refid="a521923">
                              <ital>Drafting note, Group and Group Company (optional definitions)</ital>
                            </internal.reference>
                            .
                          </paratext>
                        </para>
                      </list.item>
                      <list.item>
                        <para>
                          <paratext>
                            Individuals that are generally acceptable to a commercial party. However, the parties should review it to ensure that this definition is appropriate in the context of the transaction and the information, particularly in the case of personal data, being disclosed. If the information is deemed particularly sensitive, disclosure should be restricted to a small group of specified individuals, or that disclosure may not be made to any person without the discloser's prior written consent. See also 
                            <internal.reference refid="a631837">
                              <ital>Drafting note, Permitted disclosure</ital>
                            </internal.reference>
                            <ital> </ital>
                            below.
                          </paratext>
                        </para>
                      </list.item>
                    </list>
                  </division>
                </drafting.note>
              </defn.item>
              <defn.item id="a845902">
                <defn.term>Shared Personal Data: the personal data to be shared by Party 1 with Party 2 under this agreement. Shared Personal Data shall be confined to the following categories of information relevant to the following categories of data subject</defn.term>
                <defn>
                  <para>
                    <paratext/>
                  </para>
                </defn>
              </defn.item>
              <defn.item>
                <defn.term>[TYPE OF PERSONAL DATA];</defn.term>
                <defn>
                  <para>
                    <paratext/>
                  </para>
                  <list type="loweralpha">
                    <list.item>
                      <para>
                        <paratext>
                          <defn.term>[TYPE OF PERSONAL DATA]; and</defn.term>
                        </paratext>
                      </para>
                    </list.item>
                    <list.item>
                      <para>
                        <paratext>
                          <defn.term>[TYPE OF PERSONAL DATA].</defn.term>
                        </paratext>
                      </para>
                    </list.item>
                  </list>
                </defn>
                <drafting.note id="a855420" jurisdiction="">
                  <head align="left" preservecase="true">
                    <headtext>Shared Personal Data</headtext>
                  </head>
                  <division id="a000011" level="1">
                    <para>
                      <paratext>
                        See 
                        <link anchor="a774163" href="w-011-7560" style="ACTLinkPLCtoPLC">
                          <ital>Standard clause, Personal data sharing clauses (controller to controller, short-form) (UK): Shared personal data</ital>
                        </link>
                        .
                      </paratext>
                    </para>
                  </division>
                </drafting.note>
              </defn.item>
              <defn.item id="a872794">
                <defn.term>subsidiary</defn.term>
                <defn>
                  <para>
                    <paratext>
                      has the meaning given in 
                      <internal.reference refid="a181236">
                        <ital>clause 1.6</ital>
                      </internal.reference>
                      .
                    </paratext>
                  </para>
                </defn>
              </defn.item>
            </subclause1>
            <subclause1 id="a107474">
              <identifier>1.2</identifier>
              <para>
                <paratext>A reference to legislation or a legislative provision is a reference to it as amended, extended or re-enacted from time to time. A reference to legislation or a legislative provision includes all subordinate legislation made from time to time under that legislation or legislative provision.</paratext>
              </para>
              <drafting.note id="a758596" jurisdiction="">
                <head align="left" preservecase="true">
                  <headtext>Legislative references</headtext>
                </head>
                <division id="a000012" level="1">
                  <para>
                    <paratext>
                      See 
                      <link anchor="a756967" href="5-107-3795" style="ACTLinkPLCtoPLC">
                        <ital>Standard clause, Interpretation: Drafting note: Legislative references</ital>
                      </link>
                       and 
                      <link anchor="a539369" href="5-107-3795" style="ACTLinkPLCtoPLC">
                        <ital>Drafting note: Legislative references and secondary legislation</ital>
                      </link>
                      .
                    </paratext>
                  </para>
                </division>
              </drafting.note>
            </subclause1>
            <subclause1 id="a618089">
              <identifier>1.3</identifier>
              <para>
                <paratext>
                  Any words following the terms 
                  <bold>including</bold>
                  , 
                  <bold>include</bold>
                  , 
                  <bold>in particular</bold>
                  , 
                  <bold>for example</bold>
                   or any similar expression shall be construed as illustrative and shall not limit the sense of the words preceding those terms.
                </paratext>
              </para>
            </subclause1>
            <subclause1 id="a866668">
              <identifier>1.4</identifier>
              <para>
                <paratext>
                  A reference to 
                  <bold>writing </bold>
                  or 
                  <bold>written</bold>
                   excludes fax [and email 
                  <bold>OR</bold>
                   but not email].
                </paratext>
              </para>
              <drafting.note id="a554300" jurisdiction="">
                <head align="left" preservecase="true">
                  <headtext>"Writing" and "written"</headtext>
                </head>
                <division id="a000013" level="1">
                  <para>
                    <paratext>
                      <internal.reference refid="a866668">clause 1.4</internal.reference>
                       includes the option of permitting notices to be given by email. It excludes fax as this is now regarded as an outdated mode of communication rarely used by lawyers in general commercial transactions. Traditionally, email had been excluded as a valid means of communication, in part because of concerns about presumed receipt. However, notice by email is now much more commonplace and 
                      <internal.reference refid="a461471">
                        <ital>clause 19.2</ital>
                      </internal.reference>
                       provides for the option of allowing notice given by email (which is treated as received on transmission, see 
                      <internal.reference refid="a821335">
                        <ital>clause 19.2(c)</ital>
                      </internal.reference>
                      ), but you should consider whether this is acceptable (see 
                      <internal.reference refid="a984877">
                        <ital>clause 19.4</ital>
                      </internal.reference>
                      ).
                    </paratext>
                  </para>
                  <para>
                    <paratext>
                      <internal.reference refid="a866668">
                        <ital>clause 1.4</ital>
                      </internal.reference>
                       does not apply to service of proceedings (see 
                      <internal.reference refid="a767817">
                        <ital>clause 19.3</ital>
                      </internal.reference>
                      ).
                    </paratext>
                  </para>
                  <para>
                    <paratext>
                      For more information about this issue, see 
                      <link href="3-107-3843" style="ACTLinkPLCtoPLC">
                        <ital>Practice note, Notice clauses</ital>
                      </link>
                      .
                    </paratext>
                  </para>
                </division>
              </drafting.note>
            </subclause1>
            <subclause1 id="a264095">
              <identifier>1.5</identifier>
              <para>
                <paratext>
                  A reference to a 
                  <bold>company</bold>
                   includes any company, corporation or other body corporate, wherever and however incorporated or established.
                </paratext>
              </para>
            </subclause1>
            <subclause1 id="a181236">
              <identifier>1.6</identifier>
              <para>
                <paratext>
                  A reference to a 
                  <bold>holding company</bold>
                   or a 
                  <bold>subsidiary</bold>
                   means a holding company or a subsidiary (as the case may be) as defined in section 1159 of the Companies Act 2006 [and a company shall be treated, for the purposes only of the membership requirement contained in section 1159(1)(b) and (c), as a member of another company even if its shares in that other company are registered in the name of:
                </paratext>
              </para>
              <subclause2 id="a960972">
                <identifier>(a)</identifier>
                <para>
                  <paratext>another person (or its nominee) by way of security or in connection with the taking of security; or</paratext>
                </para>
              </subclause2>
              <subclause2 id="a356182">
                <identifier>(b)</identifier>
                <para>
                  <paratext>its nominee].</paratext>
                </para>
                <drafting.note id="a903729" jurisdiction="">
                  <head align="left" preservecase="true">
                    <headtext>Holding company and subsidiary</headtext>
                  </head>
                  <division id="a000014" level="1">
                    <para>
                      <paratext>
                        For a discussion of the effects of the decision in 
                        <link href="D-000-0170" style="ACTLinkPLCtoPLC">
                          <ital>Farstad Supply A/S v Enviroco Ltd [2011] UKSC 16</ital>
                        </link>
                         on the interpretation of "holding company" and "subsidiary", see 
                        <link anchor="a884316" href="5-107-3795" style="ACTLinkPLCtoPLC">
                          <ital>Standard clause, Interpretation: Drafting note: Holding company and subsidiary</ital>
                        </link>
                        .
                      </paratext>
                    </para>
                  </division>
                </drafting.note>
              </subclause2>
            </subclause1>
            <subclause1 id="a829985">
              <identifier>1.7</identifier>
              <para>
                <paratext>Any obligation on a party not to do something includes an obligation not to allow that thing to be done.</paratext>
              </para>
            </subclause1>
          </clause>
          <clause id="a397587">
            <identifier>2.</identifier>
            <head align="left" preservecase="true">
              <headtext>Confidential Information</headtext>
            </head>
            <drafting.note id="a1037342" jurisdiction="">
              <head align="left" preservecase="true">
                <headtext>Confidential information</headtext>
              </head>
              <division id="a351506" level="1">
                <head align="left" preservecase="true">
                  <headtext>Scope of definition</headtext>
                </head>
                <para>
                  <paratext>
                    In order to be capable of protection as confidential information, the information in question must have the "necessary quality of confidence" (
                    <link href="D-015-4288" style="ACTLinkPLCtoPLC">
                      <ital>Saltman Engineering Co Ltd v Campbell Engineering Co Ltd [1948] 65 RPC 203</ital>
                    </link>
                     and 
                    <link href="D-000-4101" style="ACTLinkPLCtoPLC">
                      <ital>Coco v AN Clark (Engineers) Ltd [1969] RPC 41</ital>
                    </link>
                    ).
                  </paratext>
                </para>
                <para>
                  <paratext>It may be tempting to make the definition of confidential information as wide as possible, for example, by describing all information disclosed by a party as confidential. But merely describing information as confidential will not, of itself, turn information which is not inherently confidential into confidential information. Taking such an approach carries the risk that the courts will find the definition so wide that they refuse to uphold the agreement in respect of even genuinely confidential parts of the package of information.</paratext>
                </para>
                <para>
                  <paratext>It is therefore necessary to weigh up the risk of using a widely drawn definition of confidential information that may not be upheld by the courts, against the risk of using a definition that is too narrow to catch the information the parties wish to protect.</paratext>
                </para>
                <para>
                  <paratext>A typical definition of confidential information will generally cover some or all of the following types of information:</paratext>
                </para>
                <list type="bulleted">
                  <list.item>
                    <para>
                      <paratext>Information about the other party's business and affairs.</paratext>
                    </para>
                  </list.item>
                  <list.item>
                    <para>
                      <paratext>Technical information, for example, processing know-how.</paratext>
                    </para>
                  </list.item>
                  <list.item>
                    <para>
                      <paratext>Information developed by the parties during their contractual relationship which contains, or was inspired by, information disclosed under the contract.</paratext>
                    </para>
                  </list.item>
                  <list.item>
                    <para>
                      <paratext>The fact that the parties are in discussions about the purpose.</paratext>
                    </para>
                  </list.item>
                </list>
                <para>
                  <paratext>
                    For further information on the definition of confidential information, see 
                    <link anchor="a599459" href="8-384-4456" style="ACTLinkPLCtoPLC">
                      <ital>Practice note, Protecting confidential information: overview: What types of information can be protected?</ital>
                    </link>
                    .
                  </paratext>
                </para>
                <division id="a1006177" level="2">
                  <head align="left" preservecase="true">
                    <headtext>Drafting approach</headtext>
                  </head>
                  <para>
                    <paratext>
                      This document includes a general definition of confidential information that includes the word "confidential". This effectively leaves the courts to decide the information that is to be regarded as confidential information, applying the tests laid down in 
                      <link href="D-000-4101" style="ACTLinkPLCtoPLC">
                        <ital>Coco v Clark</ital>
                      </link>
                      . The merit of this approach is that it is less likely to fall foul of the courts for being too wide; the disadvantage is that it does not convey with certainty exactly what information is captured by the definition. 
                      <internal.reference refid="a244583">
                        <ital>Clause 2.1(g)</ital>
                      </internal.reference>
                       addresses this in part by allowing the parties to specify certain information as confidential by use of a schedule.
                    </paratext>
                  </para>
                  <para>
                    <paratext>Another approach to defining confidential information is to define it as information marked or otherwise indicated as "confidential" by the parties. But this approach is vulnerable to human mistake and, in addition, indiscriminate marking of materials as "confidential" may devalue the term.</paratext>
                  </para>
                </division>
                <division id="a993836" level="2">
                  <head align="left" preservecase="true">
                    <headtext>Trade secrets</headtext>
                  </head>
                  <para>
                    <paratext>
                      The 
                      <link href="w-014-9127" style="ACTLinkPLCtoPLC">
                        <ital>Trade Secrets Regulations</ital>
                      </link>
                       for the protection of trade secrets implemented the 
                      <link href="w-015-1298" style="ACTLinkPLCtoPLC">
                        <ital>Trade Secrets Directive</ital>
                      </link>
                       in the UK. The Trade Secrets Regulations provide for a statutory definition of "trade secret" in 
                      <link href="w-014-9386" style="ACTLinkPLCtoPLC">
                        <ital>regulation 2</ital>
                      </link>
                      <ital>.</ital>
                       This statutory definition requires the trade secret to have been subject to reasonable steps by the legal owner to keep it secret:
                    </paratext>
                  </para>
                  <display.quote>
                    <para>
                      <paratext>"information which</paratext>
                    </para>
                  </display.quote>
                  <display.quote>
                    <para>
                      <paratext>(a) is secret in the sense that it is not, as a body or in the precise configuration and assembly of its components, generally known among, or readily accessible to, persons within the circles that normally deal with the kind of information in question,</paratext>
                    </para>
                  </display.quote>
                  <display.quote>
                    <para>
                      <paratext>(b) has commercial value because it is secret, and</paratext>
                    </para>
                  </display.quote>
                  <display.quote>
                    <para>
                      <paratext>(c) has been subject to reasonable steps under the circumstances, by the person lawfully in control of the information, to keep it secret."</paratext>
                    </para>
                  </display.quote>
                  <para>
                    <paratext>
                      It was initially unclear whether this new statutory regime resulted in a different scope of protection for trade secrets compared to the more traditional form of protection by way of the equitable doctrine of confidence. However, the High Court has since specifically referred to the Trade Secrets Directive in the context of the equitable duty of confidence in 
                      <link href="D-104-7896" style="ACTLinkPLCtoPLC">
                        <ital>Trailfinders Ltd v Travel Counsellors Ltd &amp; Ors [2020] EWHC 591 (IPEC)</ital>
                      </link>
                      , where the judge acknowledged that the substantive principles governing the protection of confidential information under English law, including that afforded by equitable obligations of confidence and terms implied into contracts of employment, are unaffected by the Trade Secrets Directive. The judge stated that "the Directive shines an occasional light on those principles". Statements of interest in the judgment include the fact that the Trade Secrets Directive:
                    </paratext>
                  </para>
                  <para>
                    <paratext>Uses the term "trade secrets" broadly, covering any sort of confidential information.</paratext>
                  </para>
                  <para>
                    <paratext>
                      Provides a definition of trade secret (
                      <ital>article 2(1)</ital>
                      ) which is now the "best guide" to the distinction between information which is confidential and that which is not.
                    </paratext>
                  </para>
                  <para>
                    <paratext>
                      As far as we are aware, this was the first judicial reference made to the Trade Secrets Directive shedding some light on its interplay with the equitable duty of confidence. (See 
                      <link href="w-008-3013" style="ACTLinkPLCtoPLC">
                        <ital>Legal update, Guidance on approach to causation for claims for breach of equitable duty of confidence (High Court)</ital>
                      </link>
                      ). The Court of Appeal went on to dismiss an appeal of this decision in 
                      <link href="D-105-6151" style="ACTLinkPLCtoPLC">
                        <ital>Travel Counsellors Ltd v Trailfinders Ltd [2021] EWCA Civ 38</ital>
                      </link>
                       but did not make any further comment on the interplay of the two regimes (see 
                      <link href="w-029-2767" style="ACTLinkPLCtoPLC">
                        <ital>Legal update, Recipient of information may be obliged to enquire whether it is confidential (Court of Appeal)</ital>
                      </link>
                      ).
                    </paratext>
                  </para>
                  <para>
                    <paratext>In any event, it is probably advisable for any definition of confidential information used in a confidentiality agreement to at least accord with the statutory definition.</paratext>
                  </para>
                  <para>
                    <paratext>
                      For further information see 
                      <link href="w-021-1676" style="ACTLinkPLCtoPLC">
                        <ital>Practice note, Protecting trade secrets: overview</ital>
                      </link>
                      .
                    </paratext>
                  </para>
                </division>
                <division id="a767501" level="2">
                  <head align="left" preservecase="true">
                    <headtext>Personal data</headtext>
                  </head>
                  <para>
                    <paratext>
                      In this NDA, "personal data" is included in the definition of confidential information (see 
                      <internal.reference refid="a397587">
                        <ital>clause 2</ital>
                      </internal.reference>
                      ). See 
                      <internal.reference refid="a986075">
                        <ital>Drafting note, Confidential information that is personal data</ital>
                      </internal.reference>
                      .
                    </paratext>
                  </para>
                </division>
                <division id="a241777" level="2">
                  <head align="left" preservecase="true">
                    <headtext>Timing of disclosure of confidential information</headtext>
                  </head>
                  <para>
                    <paratext>
                      Ideally, a confidentiality agreement will have been entered into before any confidential information is disclosed. But this may not always occur in practice. The optional wording in 
                      <internal.reference refid="a789254">
                        <ital>clause 2.1</ital>
                      </internal.reference>
                       "[before, on or after the date of this agreement]" extends the parties' obligations to capture the disclosure of relevant information before the confidentiality agreement is signed.
                    </paratext>
                  </para>
                  <para>
                    <paratext>
                      However, if information is disclosed before the agreement is signed, there is a risk that the recipient's obligations will not be enforceable with regard to that information on the grounds that past consideration is no consideration. For options on dealing with this, see 
                      <internal.reference refid="a783706">
                        <ital>Drafting note, Requirement for consideration</ital>
                      </internal.reference>
                      .
                    </paratext>
                  </para>
                </division>
              </division>
            </drafting.note>
            <subclause1 id="a789254">
              <identifier>2.1</identifier>
              <para>
                <paratext>
                  <defn.term>Confidential Information</defn.term>
                   means all confidential information relating to the Purpose which Party 1 or its Representatives [or any of its Group Companies, or their Representatives] directly or indirectly discloses, or makes available, to Party 2 or its Representatives [or any of its Group Companies, or their Representatives][, before, on or after the date of this agreement]. This includes:
                </paratext>
              </para>
              <subclause2 id="a581630">
                <identifier>(a)</identifier>
                <para>
                  <paratext>the fact that discussions and negotiations are taking place concerning the Purpose and the status of those discussions and negotiations;</paratext>
                </para>
              </subclause2>
              <subclause2 condition="optional" id="a516088">
                <identifier>(b)</identifier>
                <para>
                  <paratext>the [existence and] terms of this agreement;</paratext>
                </para>
                <drafting.note id="a42362" jurisdiction="">
                  <head align="left" preservecase="true">
                    <headtext>The agreement itself (optional clause)</headtext>
                  </head>
                  <division id="a000015" level="1">
                    <para>
                      <paratext>The discloser may wish to protect any of the existence, subject matter and terms of this agreement, and not just the information disclosed under it.</paratext>
                    </para>
                  </division>
                </drafting.note>
              </subclause2>
              <subclause2 id="a105857">
                <identifier>(c)</identifier>
                <para>
                  <paratext>all confidential or proprietary information relating to:</paratext>
                </para>
                <subclause3 id="a922502">
                  <identifier>(i)</identifier>
                  <para>
                    <paratext>
                      the business, affairs, customers, clients, suppliers[, 
                      <bold>OR</bold>
                       or] plans[, intentions, or market opportunities] of Party 1 [or of any of Party 1's Group Companies]; and
                    </paratext>
                  </para>
                </subclause3>
                <subclause3 id="a128356">
                  <identifier>(ii)</identifier>
                  <para>
                    <paratext>the operations, processes, product information, know-how, technical information, designs, trade secrets or software of Party 1[, or of any of Party 1's Group Companies];</paratext>
                  </para>
                </subclause3>
              </subclause2>
              <subclause2 id="a714058">
                <identifier>(d)</identifier>
                <para>
                  <paratext>any information, findings, data or analysis derived from Confidential Information;</paratext>
                </para>
              </subclause2>
              <subclause2 id="a485699">
                <identifier>(e)</identifier>
                <para>
                  <paratext>any Shared Personal Data; [and]</paratext>
                </para>
              </subclause2>
              <subclause2 id="a831424">
                <identifier>(f)</identifier>
                <para>
                  <paratext>
                    any other information that is identified as being of a confidential or proprietary nature[; and 
                    <bold>OR</bold>
                     ,]
                  </paratext>
                </para>
              </subclause2>
              <subclause2 condition="optional" id="a244583">
                <identifier>(g)</identifier>
                <para>
                  <paratext>any information detailed in Schedule [NUMBER],</paratext>
                </para>
              </subclause2>
              <para>
                <paratext>
                  but excludes any information referred to in 
                  <internal.reference refid="a643700">
                    <ital>clause 2.2</ital>
                  </internal.reference>
                  .
                </paratext>
              </para>
            </subclause1>
            <subclause1 id="a643700">
              <identifier>2.2</identifier>
              <para>
                <paratext>Information is not Confidential Information if:</paratext>
              </para>
              <drafting.note id="a923945" jurisdiction="">
                <head align="left" preservecase="true">
                  <headtext>Carve-outs: information that is not confidential information</headtext>
                </head>
                <division id="a000016" level="1">
                  <para>
                    <paratext>Most disclosing parties will accept certain standard carve-outs to the definition of confidential information. The definition will usually contain carve-outs in respect of information that is in the public domain or that the recipient already possesses or has received from another source.</paratext>
                  </para>
                </division>
              </drafting.note>
              <subclause2 id="a739239">
                <identifier>(a)</identifier>
                <para>
                  <paratext>it is, or becomes, generally available to the public other than as a direct or indirect result of the information being disclosed by Party 2 or its Representatives [or by any of Party 2's Group Companies or their Representatives] in breach of this agreement [(except that any compilation of otherwise public information in a form not publicly known shall still be treated as Confidential Information)];</paratext>
                </para>
                <drafting.note id="a324584" jurisdiction="">
                  <head align="left" preservecase="true">
                    <headtext>Information presented in confidential manner</headtext>
                  </head>
                  <division id="a000017" level="1">
                    <para>
                      <paratext>
                        While certain information may already be publicly available, the way it is presented to the recipient may be unique or difficult to replicate. In such cases, the discloser may want to keep the particular compilation of the information confidential. If so, include the wording in square brackets at the end of 
                        <internal.reference refid="a739239">
                          <ital>clause 2.2(a)</ital>
                        </internal.reference>
                        .
                      </paratext>
                    </para>
                  </division>
                </drafting.note>
              </subclause2>
              <subclause2 id="a586978">
                <identifier>(b)</identifier>
                <para>
                  <paratext>it was available to Party 2 on a non-confidential basis prior to disclosure by Party 1;</paratext>
                </para>
              </subclause2>
              <subclause2 id="a62671">
                <identifier>(c)</identifier>
                <para>
                  <paratext>it was, is, or becomes available to Party 2 on a non-confidential basis from a person who, to Party 2's knowledge, is not under any confidentiality obligation in respect of that information;</paratext>
                </para>
              </subclause2>
              <subclause2 id="a87236">
                <identifier>(d)</identifier>
                <para>
                  <paratext>it was lawfully in the possession of Party 2 before the information was disclosed by Party 1; [and]</paratext>
                </para>
              </subclause2>
              <subclause2 condition="optional" id="a456217">
                <identifier>(e)</identifier>
                <para>
                  <paratext>it is developed by or for Party 2 independently of the information disclosed by Party 1 [and Party 2 provides documentary evidence of such independence to the reasonable satisfaction of Party 1]; and</paratext>
                </para>
                <drafting.note id="a536102" jurisdiction="">
                  <head align="left" preservecase="true">
                    <headtext>Information developed independently</headtext>
                  </head>
                  <division id="a000018" level="1">
                    <para>
                      <paratext>
                        The discloser may also agree to exclude information that was independently developed by the recipient without using the disclosing party's confidential information. This allows the recipient to create, develop or pursue a project in the future that may be similar to the project contemplated by the agreement here. If the discloser agrees to this carve-out, include 
                        <internal.reference refid="a456217">
                          <ital>clause 2.2(e)</ital>
                        </internal.reference>
                        .
                      </paratext>
                    </para>
                    <para>
                      <paratext>
                        The discloser may want to include a requirement for the recipient to provide documentary evidence that the information was indeed developed independently. If so, include the words in square brackets at the end of 
                        <internal.reference refid="a456217">
                          <ital>clause 2.2(e)</ital>
                        </internal.reference>
                        . Note that the recipient is likely to prefer not to include this requirement as it may be practically difficult to provide such documentary evidence.
                      </paratext>
                    </para>
                  </division>
                </drafting.note>
              </subclause2>
              <subclause2 id="a325965">
                <identifier>(f)</identifier>
                <para>
                  <paratext>the parties agree in writing that the information is not confidential.</paratext>
                </para>
              </subclause2>
            </subclause1>
          </clause>
          <clause id="a785029">
            <identifier>3.</identifier>
            <head align="left" preservecase="true">
              <headtext>Confidentiality obligations</headtext>
            </head>
            <drafting.note id="a255429" jurisdiction="">
              <head align="left" preservecase="true">
                <headtext>Confidentiality obligations</headtext>
              </head>
              <division id="a000019" level="1">
                <para>
                  <paratext>The recipient should agree to:</paratext>
                </para>
                <list type="bulleted">
                  <list.item>
                    <para>
                      <paratext>Preserve the confidentiality of the information disclosed to it.</paratext>
                    </para>
                  </list.item>
                  <list.item>
                    <para>
                      <paratext>Use the confidential information only for the purpose. Without this restriction, the recipient would be free to use the confidential information for its own purposes to compete with the discloser or obtain some other commercial advantage.</paratext>
                    </para>
                  </list.item>
                </list>
                <division id="a654477" level="2">
                  <head align="left" preservecase="true">
                    <headtext>Drafting approach</headtext>
                  </head>
                  <para>
                    <paratext>
                      The obligations in 
                      <internal.reference refid="a567089">
                        <ital>clause 3.1(a)</ital>
                      </internal.reference>
                       to 
                      <internal.reference refid="a334426">
                        <ital>clause 3.1(d)</ital>
                      </internal.reference>
                       are the minimum requirements which the discloser should include. The remaining are optional and can be included if required. Whether or not the discloser decides to include the additional requirements will depend on the sensitivity and value of the information. Obviously, the more onerous the obligation, the more likely that the recipient will resist it.
                    </paratext>
                  </para>
                </division>
                <division id="a246545" level="2">
                  <head align="left" preservecase="true">
                    <headtext>AI and machine learning</headtext>
                  </head>
                  <para>
                    <paratext>The specific requirements of an NDA can vary with the type of information being shared and its intended purpose. However, with AI use becoming ever more prevalent in a commercial context, practitioners should expressly address the recipient's potential use of AI and machine learning, including how this interfaces with the need to protect the confidential information disclosed.</paratext>
                  </para>
                  <para>
                    <paratext>Choose from the following two drafting options:</paratext>
                  </para>
                  <list type="bulleted">
                    <list.item>
                      <para>
                        <paratext>
                          <bold>Option 1. </bold>
                          Unless there is a transaction-specific reason to permit it, an NDA should prohibit the use of the discloser's confidential information by AI or machine learning models (whether private or public facing). This broad prohibition also prevents use of the confidential information to train such models. Particularly with a public facing AI model (for example, Chat GPT), this helps address the risk that the confidential information may be used to train the model to respond to future queries by members of the public, and so lead to potential data leakage (unauthorised disclosure to third parties). The first drafting option at 
                          <internal.reference refid="a755818">
                            <ital>clause 3.1(g)</ital>
                          </internal.reference>
                           reflects this approach.
                        </paratext>
                      </para>
                    </list.item>
                    <list.item>
                      <para>
                        <paratext>
                          <bold>Option 2. </bold>
                          If the recipient is unable to agree to a blanket prohibition on disclosure of the confidential information to AI or machine learning models, for example because the proposed commercial transaction envisages use of AI, the NDA should expressly provide for that. In these circumstances, practitioners should also consider imposing a condition on the recipient that any confidential information fed into the AI model will not be used to train it, and that the AI model is not accessible to or available for use by anyone that is not already allowed to access the confidential information under the NDA. Choose the second drafting option at 
                          <internal.reference refid="a755818">
                            <ital>clause 3.1(g)</ital>
                          </internal.reference>
                          , if taking this approach.
                        </paratext>
                      </para>
                    </list.item>
                  </list>
                  <para>
                    <paratext>
                      For further information on AI and confidentiality, see 
                      <link anchor="a402318" href="8-384-4456" style="ACTLinkPLCtoPLC">
                        <ital>Practice note, Protecting confidential information: overview: Artificial intelligence (AI) and confidentiality</ital>
                      </link>
                      .
                    </paratext>
                  </para>
                </division>
              </division>
            </drafting.note>
            <subclause1 id="a540626">
              <identifier>3.1</identifier>
              <para>
                <paratext>In return for Party 1 making Confidential Information available to Party 2, Party 2 undertakes to Party 1 that it shall:</paratext>
              </para>
              <subclause2 id="a567089">
                <identifier>(a)</identifier>
                <para>
                  <paratext>keep the Confidential Information secret and confidential;</paratext>
                </para>
              </subclause2>
              <subclause2 id="a149200">
                <identifier>(b)</identifier>
                <para>
                  <paratext>not use or exploit the Confidential Information in any way except for the Purpose;</paratext>
                </para>
              </subclause2>
              <subclause2 id="a773079">
                <identifier>(c)</identifier>
                <para>
                  <paratext>not directly or indirectly disclose or make available any Confidential Information in whole or in part to any person, except as expressly permitted by, and in accordance with this agreement; [and]</paratext>
                </para>
              </subclause2>
              <subclause2 id="a334426">
                <identifier>(d)</identifier>
                <para>
                  <paratext>
                    with regard to Confidential Information that consists of Shared Personal Data, comply with the obligations in 
                    <internal.reference refid="a272658">
                      <ital>clause 5</ital>
                    </internal.reference>
                    <ital> </ital>
                    (Data protection)[; 
                    <bold>OR </bold>
                    .]
                  </paratext>
                </para>
              </subclause2>
              <subclause2 condition="optional" id="a183332">
                <identifier>(e)</identifier>
                <para>
                  <paratext>not copy, reduce to writing or otherwise record the Confidential Information except as strictly necessary for the Purpose. Any such copies, reductions to writing and records shall be the property of Party 1;</paratext>
                </para>
              </subclause2>
              <subclause2 condition="optional" id="a838677">
                <identifier>(f)</identifier>
                <para>
                  <paratext>not use, reproduce, transform or store the Confidential Information in an externally accessible computer or electronic information retrieval system or transmit it in any form or by any means outside its usual place of business;</paratext>
                </para>
              </subclause2>
              <subclause2 condition="optional" id="a755818">
                <identifier>(g)</identifier>
                <para>
                  <paratext>[not process the Confidential Information in any way using machine learning or artificial intelligence (“AI”) models OR only process the Confidential Information using machine learning or artificial intelligence (“AI”) models where those models will not be:</paratext>
                </para>
                <subclause3 id="a809932">
                  <identifier>(i)</identifier>
                  <para>
                    <paratext>trained on the Confidential Information; and</paratext>
                  </para>
                </subclause3>
                <subclause3 id="a136996">
                  <identifier>(ii)</identifier>
                  <para>
                    <paratext>lawfully available to or accessible for use by any person or entity except for the Discloser, the Recipient or its Representatives;]</paratext>
                  </para>
                </subclause3>
              </subclause2>
              <subclause2 condition="optional" id="a870756">
                <identifier>(h)</identifier>
                <para>
                  <paratext>[apply the same security measures and degree of care to the Confidential Information as Party 2 applies to its own confidential information, which Party 2 warrants as providing adequate protection from unauthorised disclosure, copying or use;]</paratext>
                </para>
              </subclause2>
              <subclause2 condition="optional" id="a535555">
                <identifier>(i)</identifier>
                <para>
                  <paratext>keep a written record of:</paratext>
                </para>
                <subclause3 id="a930764">
                  <identifier>(i)</identifier>
                  <para>
                    <paratext>any document or Confidential Information received from Party 1 in tangible form; and</paratext>
                  </para>
                </subclause3>
                <subclause3 id="a745136">
                  <identifier>(ii)</identifier>
                  <para>
                    <paratext>any copies made of the Confidential Information; [and]</paratext>
                  </para>
                </subclause3>
              </subclause2>
              <subclause2 condition="optional" id="a567599">
                <identifier>(j)</identifier>
                <para>
                  <paratext>
                    ensure that any document or other records containing Confidential Information shall be kept at its premises at [PREMISES] and shall not remove or allow those documents and records to be moved from those premises[; and 
                    <bold>OR </bold>
                    .]
                  </paratext>
                </para>
              </subclause2>
              <subclause2 condition="optional" id="a243105">
                <identifier>(k)</identifier>
                <para>
                  <paratext>[OTHER SPECIFIC REQUIREMENTS].</paratext>
                </para>
              </subclause2>
            </subclause1>
            <subclause1 id="a998875">
              <identifier>3.2</identifier>
              <para>
                <paratext>Party 2 shall establish and maintain adequate security measures (including any reasonable security measures proposed by Party 1 from time to time) to safeguard the Confidential Information from unauthorised access or use.</paratext>
              </para>
            </subclause1>
          </clause>
          <clause id="a326788">
            <identifier>4.</identifier>
            <head align="left" preservecase="true">
              <headtext>Permitted disclosure</headtext>
            </head>
            <drafting.note id="a631837" jurisdiction="">
              <head align="left" preservecase="true">
                <headtext>Permitted disclosure</headtext>
              </head>
              <division id="a000020" level="1">
                <para>
                  <paratext>
                    <internal.reference refid="a326788">
                      <ital>clause 4</ital>
                    </internal.reference>
                     allows for disclosure of the confidential information to representatives, provided that certain requirements are met. See 
                    <internal.reference refid="a548631">
                      <ital>Drafting note, Representatives</ital>
                    </internal.reference>
                     above for a discussion of this definition.
                  </paratext>
                </para>
                <division id="a343319" level="2">
                  <head align="left" preservecase="true">
                    <headtext>Ensuring that representatives comply with the terms of the agreement</headtext>
                  </head>
                  <para>
                    <paratext>
                      Because there is no privity of contract between the discloser and the recipient's representatives, 
                      <internal.reference refid="a51820">
                        <ital>clause 4.1(b)</ital>
                      </internal.reference>
                       provides that the recipient shall procure that its representatives comply with the confidentiality obligations in the agreement.
                    </paratext>
                  </para>
                  <para>
                    <paratext>Whether a recipient accepts this would depend on the following:</paratext>
                  </para>
                  <list type="bulleted">
                    <list.item>
                      <para>
                        <paratext>The extent to which it can, in practice, control or influence the actions of the representatives.</paratext>
                      </para>
                    </list.item>
                    <list.item>
                      <para>
                        <paratext>The available avenues of recourse against the representatives if they breach the terms of this agreement.</paratext>
                      </para>
                    </list.item>
                  </list>
                  <division id="a610377" level="3">
                    <head align="left" preservecase="true">
                      <headtext>Individual undertakings from representatives</headtext>
                    </head>
                    <para>
                      <paratext>
                        In circumstances where the information is particularly sensitive, the discloser may require the additional right to enforce the confidentiality undertakings directly against the representatives by means of a separate confidentiality undertaking with each individual representative, or by requiring that the recipient enters into a separate undertaking with each of its representatives (see the optional wording in 
                        <internal.reference refid="a51820">
                          <ital>clause 4.1(b)</ital>
                        </internal.reference>
                        ). For an example letter agreement to meet this requirement, see 
                        <link href="1-592-6085" style="ACTLinkPLCtoPLC">
                          <ital>Standard document, Confidentiality letter: individual representative agreeing to be bound by a confidentiality agreement</ital>
                        </link>
                        .
                      </paratext>
                    </para>
                    <para>
                      <paratext>
                        However, a recipient may find this requirement too onerous and may try to argue that confidentiality clauses in employment or consultancy agreements will be considered sufficient. If so, the discloser may want to seek a warranty from the recipient that such clauses have indeed been included in those agreements. For further information on confidentiality in an employment relationship, see 
                        <link anchor="a920102" href="8-384-4456" style="ACTLinkPLCtoPLC">
                          <ital>Practice note, Protecting confidential information: overview: Confidentiality obligations in an employment relationship</ital>
                        </link>
                        .
                      </paratext>
                    </para>
                    <para>
                      <paratext>
                        Specifically in relation to personal data, see 
                        <internal.reference refid="a296153">
                          <ital>Drafting note, Personal data</ital>
                        </internal.reference>
                        .
                      </paratext>
                    </para>
                  </division>
                  <division id="a296153" level="3">
                    <head align="left" preservecase="true">
                      <headtext>Personal data</headtext>
                    </head>
                    <para>
                      <paratext>
                        In relation to any personal data being disclosed, the discloser will want the recipient to ensure that those representatives who are to receive such information are at least contractually bound by the set of obligations contained in 
                        <internal.reference refid="a272658">
                          <ital>clause 5</ital>
                        </internal.reference>
                         (see 
                        <internal.reference refid="a51820">
                          <ital>clause 4.1(b)</ital>
                        </internal.reference>
                        ).
                      </paratext>
                    </para>
                    <para>
                      <paratext>
                        From a data protection perspective, when considering who such representatives will be, so those permitted to have "shared personal data" (defined term) disclosed to them, controllers must take into account the sixth data protection principle: integrity and confidentiality. For further information see 
                        <link anchor="a933172" href="w-013-3757" style="ACTLinkPLCtoPLC">
                          <ital>Practice note, Overview of UK GDPR: Data security and personal data breaches</ital>
                        </link>
                        .
                      </paratext>
                    </para>
                  </division>
                </division>
                <division id="a62208" level="2">
                  <head align="left" preservecase="true">
                    <headtext>Disclosure to the Serious Fraud office relating to Bribery Act 2010 offences</headtext>
                  </head>
                  <para>
                    <paratext>
                      If the recipient receives confidential information which causes it to suspect that the discloser may be involved in bribery in breach of the 
                      <link href="1-503-8422" style="ACTLinkPLCtoPLC">
                        <ital>Bribery Act 2010</ital>
                      </link>
                       (BA 2010), the recipient may want to report this to the Serious Fraud Office (SFO) pursuant to the SFO's self-reporting policy. In doing so, the recipient may be in breach of its confidentiality obligations if this involves the disclosure of the discloser's confidential information.
                    </paratext>
                  </para>
                  <para>
                    <paratext>
                      A discloser should note that a recipient may therefore want to include a carve-out expressly allowing for disclosure of confidential information under the BA 2010, without giving prior notice to the discloser. For an example of this clause, see 
                      <link anchor="a311283" href="w-020-2543" style="ACTLinkPLCtoPLC">
                        <ital>Standard document, Confidentiality agreement (mutual) with data protection provisions: clause 4.2</ital>
                      </link>
                      .
                    </paratext>
                  </para>
                  <para>
                    <paratext>
                      For further information on the BA 2010 generally, see 
                      <link href="4-506-7875" style="ACTLinkPLCtoPLC">
                        <ital>Practice note, Bribery Act 2010: application to commercial agreements</ital>
                      </link>
                      .
                    </paratext>
                  </para>
                </division>
              </division>
            </drafting.note>
            <subclause1 id="a876873">
              <identifier>4.1</identifier>
              <para>
                <paratext>Party 2 may disclose the Confidential Information to its Representatives[, any of its Group Companies or their Representatives] on the basis that it:</paratext>
              </para>
              <subclause2 id="a656610">
                <identifier>(a)</identifier>
                <para>
                  <paratext>informs those Representatives[, Group Companies or their Representatives] of the confidential nature of the Confidential Information before it is disclosed; [and]</paratext>
                </para>
              </subclause2>
              <subclause2 id="a51820">
                <identifier>(b)</identifier>
                <para>
                  <paratext>
                    procures that those Representatives[, Group Companies or their Representatives] comply with the confidentiality obligations in 
                    <internal.reference refid="a540626">
                      <ital>clause 3.1</ital>
                    </internal.reference>
                     as if they were Party 2 [and if Party 1 so requests, procure that any of them enters into a confidentiality agreement with Party 1 on terms equivalent to those contained in this agreement,] including ensuring that those of them who receive Shared Personal Data are subject to written contractual obligations concerning the Shared Personal Data which are no less onerous than those imposed by
                    <ital> </ital>
                    <internal.reference refid="a272658">
                      <ital>clause 5</ital>
                    </internal.reference>
                    <ital> </ital>
                    (Data protection)[; and 
                    <bold>OR</bold>
                     .]
                  </paratext>
                </para>
              </subclause2>
              <subclause2 condition="optional" id="a866192">
                <identifier>(c)</identifier>
                <para>
                  <paratext>keeps a written record of those persons.</paratext>
                </para>
              </subclause2>
            </subclause1>
            <subclause1 id="a141160">
              <identifier>4.2</identifier>
              <para>
                <paratext>Party 2 shall be liable for the actions or omissions of the Representatives, [any of its Group Companies or their Representatives] in relation to the Confidential Information as if they were the actions or omissions of Party 2.</paratext>
              </para>
            </subclause1>
          </clause>
          <clause id="a272658">
            <identifier>5.</identifier>
            <head align="left" preservecase="true">
              <headtext>Data Protection</headtext>
            </head>
            <drafting.note id="a653988" jurisdiction="">
              <head align="left" preservecase="true">
                <headtext>Data protection</headtext>
              </head>
              <division id="a000021" level="1">
                <para>
                  <paratext>
                    <internal.reference refid="a272658">
                      <ital>Clause 5</ital>
                    </internal.reference>
                     incorporates the appropriate wording from 
                    <link href="w-011-7560" style="ACTLinkPLCtoPLC">
                      <ital>Standard clause, Personal data sharing clauses (controller to controller, short-form) (UK)</ital>
                    </link>
                     and we strongly recommend that you review the drafting notes in that document when using these clauses.
                  </paratext>
                </para>
                <para>
                  <paratext>
                    As mentioned in 
                    <internal.reference refid="a986075">
                      <ital>Drafting note, Confidential information that is personal data</ital>
                    </internal.reference>
                    , this document assumes that some of the confidential information being disclosed will constitute personal data, hence the inclusion of these data protection provisions. As for whether the clause should consist of data sharing or data processing provisions, this is a matter for the parties to decide. However, the assumption here is that their relationship is that of controller to controller (hence, the data sharing provisions) and that the personal data being shared is limited (hence the short form nature of the clauses). If the personal data being shared is more large scale or high risk, the data protection provisions here are likely to require supplementing. For more information and further resources, see 
                    <internal.reference refid="a881824">
                      <ital>Drafting note, Approach in this document</ital>
                    </internal.reference>
                    .
                  </paratext>
                </para>
                <division id="a000022" level="2">
                  <division id="a880823" level="3">
                    <head align="left" preservecase="true">
                      <headtext>Data protection obligations for the discloser?</headtext>
                    </head>
                    <para>
                      <paratext>
                        The presumption is that the discloser is disclosing certain limited personal data relating to certain data subjects and is sharing this with the recipient on a controller to controller basis. The discloser will therefore require the recipient to comply with the data protection provisions in 
                        <internal.reference refid="a110121">
                          <ital>clause 5.1</ital>
                        </internal.reference>
                        <ital> </ital>
                        and
                        <ital> </ital>
                        <internal.reference refid="a618032">
                          <ital>clause 5.2</ital>
                        </internal.reference>
                        .
                      </paratext>
                    </para>
                    <para>
                      <paratext>
                        It may be that the recipient requires the discloser to contractually agree to comply with its statutory data protection obligations in relation to the shared personal data. However, as this is a pro-discloser version of a one-way NDA, 
                        <internal.reference refid="a281113">
                          <ital>clause 5.3</ital>
                        </internal.reference>
                         is in square brackets and the discloser may not want to offer this, although as such obligations are a matter of data protection law, it may not be worth resisting.
                      </paratext>
                    </para>
                    <para>
                      <paratext>
                        The obligations set out in 
                        <internal.reference refid="a618032">
                          <ital>clause 5.2</ital>
                        </internal.reference>
                         may also be extended to the discloser and the drafting includes such optionality. The recipient may deem it reasonable for the discloser to comply with its data protection obligations in relation to the personal data it is sharing with the recipient.
                      </paratext>
                    </para>
                  </division>
                  <division id="a612095" level="3">
                    <head align="left" preservecase="true">
                      <headtext>No obligation to give notice to data subjects</headtext>
                    </head>
                    <para>
                      <paratext>The UK GDPR requires a controller of personal data to tell data subjects if their data is being disclosed to third parties. This includes disclosure in the context of a commercial transaction. There is an obvious tension in a commercial transaction between the need:</paratext>
                    </para>
                    <list type="bulleted">
                      <list.item>
                        <para>
                          <paratext>To comply fully with data protection legislation.</paratext>
                        </para>
                      </list.item>
                      <list.item>
                        <para>
                          <paratext>To ensure that commercial sensitivity is respected and confidentiality maintained (particularly if the proposed transaction involves a publicly listed entity for example).</paratext>
                        </para>
                      </list.item>
                    </list>
                    <para>
                      <paratext>Commercial parties will wish to keep knowledge of the proposed commercial arrangement restricted to a small circle of individuals, which does not include customers or employees (except potentially senior management). There are potential grounds that the parties can rely on for processing information in a proposed commercial transaction:</paratext>
                    </para>
                    <list type="bulleted">
                      <list.item>
                        <para>
                          <paratext>
                            <bold>Consent.</bold>
                             Consent of the data subjects is a possible ground. However, if disclosure of personal data is being made in the early stages of a potential commercial transaction under an NDA, obtaining consent may be logistically difficult, particularly because of the need to keep the transaction confidential. Obtaining employee consent which is compliant with data protection law, for example, can be particularly challenging.
                          </paratext>
                        </para>
                      </list.item>
                      <list.item>
                        <para>
                          <paratext>
                            <bold>Legitimate interests.</bold>
                             Given the difficulties with relying on the consent ground for processing, businesses are most likely to rely upon the legitimate interests ground for processing. This is a relatively common commercial practice, provided that the conditions for meeting the derogation have been met, which requires the parties' interests to be balanced against those of the data subject(s).
                          </paratext>
                        </para>
                      </list.item>
                    </list>
                    <para>
                      <paratext>
                        For further information on this, see 
                        <link href="w-014-9200" style="ACTLinkPLCtoPLC">
                          <ital>Practice note, Data protection in corporate transactions (UK)</ital>
                        </link>
                        , particularly at 
                        <link anchor="a227146" href="w-014-9200" style="ACTLinkPLCtoPLC">
                          <ital>NDAs and personal data</ital>
                        </link>
                         and 
                        <link anchor="a547110" href="w-014-9200" style="ACTLinkPLCtoPLC">
                          <ital>Ground for processing in an M&amp;A context</ital>
                        </link>
                        . Although the note focuses on M&amp;A transactions, it also covers general commercial transactions.
                        <ital> </ital>
                      </paratext>
                    </para>
                    <para>
                      <paratext>
                        It is for this reason that there are no specific obligations in 
                        <internal.reference refid="a272658">
                          <ital>clause 5</ital>
                        </internal.reference>
                         relating to the consent of data subjects, whether notices being given to data subjects nor the receipt of any data subject access request. For example, there is no specific obligation on a party to give full information of the nature of any processing to any data subject whose personal data may be processed under this agreement, nor to give notice that their personal data may be transferred to one or more of the representatives. Each party must satisfy itself that a legitimate derogation exists from its obligation to provide such full information to any relevant data subjects under the UK GDPR.
                      </paratext>
                    </para>
                  </division>
                  <division id="a551500" level="3">
                    <head align="left" preservecase="true">
                      <headtext>Limiting liability for data protection breaches</headtext>
                    </head>
                    <para>
                      <paratext>
                        See 
                        <internal.reference refid="a590831">
                          <ital>Drafting note, Limiting liability for data protection breaches</ital>
                        </internal.reference>
                        .
                      </paratext>
                    </para>
                  </division>
                  <division id="a371595" level="3">
                    <head align="left" preservecase="true">
                      <headtext>Indemnity for data protection breaches</headtext>
                    </head>
                    <para>
                      <paratext>
                        See 
                        <internal.reference refid="a215681">
                          <ital>Drafting note, Indemnity in a confidentiality agreement</ital>
                        </internal.reference>
                        .
                      </paratext>
                    </para>
                  </division>
                </division>
              </division>
            </drafting.note>
            <subclause1 id="a110121">
              <identifier>5.1</identifier>
              <para>
                <paratext>Party 2 shall comply with all the obligations imposed on a controller under the Data Protection Legislation in relation to the Shared Personal Data, including the following:</paratext>
              </para>
              <subclause2 id="a850686">
                <identifier>(a)</identifier>
                <para>
                  <paratext>to ensure that it has all necessary notices and consents in place to enable lawful transfer of the Shared Personal Data to the Representatives for the Purpose;</paratext>
                </para>
              </subclause2>
              <subclause2 id="a146139">
                <identifier>(b)</identifier>
                <para>
                  <paratext>to process the Shared Personal Data only for the Purpose;</paratext>
                </para>
              </subclause2>
              <subclause2 id="a694378">
                <identifier>(c)</identifier>
                <para>
                  <paratext>not to disclose or allow access to the Shared Personal Data to anyone other than the Representatives;</paratext>
                </para>
              </subclause2>
              <subclause2 id="a585229">
                <identifier>(d)</identifier>
                <para>
                  <paratext>
                    without prejudice to 
                    <internal.reference refid="a998875">
                      <ital>clause 3.2</ital>
                    </internal.reference>
                    , to ensure that it has in place appropriate technical and organisational measures, reviewed and approved by the other party, to protect against unauthorised or unlawful processing of the Shared Personal Data and against accidental loss or destruction of, or damage to, the Shared Personal Data.
                  </paratext>
                </para>
              </subclause2>
              <subclause2 id="a104487">
                <identifier>(e)</identifier>
                <para>
                  <paratext>not to transfer any of the Shared Personal Data received from Party 1 outside the [UK] OR [EEA] unless the transferor ensures that (i) the transfer is to a country approved under the applicable Data Protection Legislation as providing adequate protection; or (ii) there are appropriate safeguards or binding corporate rules in place pursuant to the applicable Data Protection Legislation; or (iii) the transferor otherwise complies with its obligations under the applicable Data Protection Legislation by providing an adequate level of protection to any personal data that is transferred; or (iv) one of the derogations for specific situations in the applicable Data Protection Legislation applies to the transfer.</paratext>
                </para>
                <drafting.note id="a983721" jurisdiction="">
                  <head align="left" preservecase="true">
                    <headtext>Transfers outside the UK or EEA</headtext>
                  </head>
                  <division id="a000023" level="1">
                    <para>
                      <paratext>
                        See 
                        <link anchor="a444787" href="w-011-7560" style="ACTLinkPLCtoPLC">
                          <ital>Standard clause, Personal data sharing clauses (controller to controller, short-form) (UK): Drafting note: Transfers outside the UK or the EEA, standard clauses and guidance</ital>
                        </link>
                        .
                      </paratext>
                    </para>
                  </division>
                </drafting.note>
              </subclause2>
            </subclause1>
            <subclause1 id="a618032">
              <identifier>5.2</identifier>
              <para>
                <paratext>
                  [Party 2 
                  <bold>OR</bold>
                   Each party] shall assist [Party 1 
                  <bold>OR</bold>
                   the other] in complying with all applicable requirements of the Data Protection Legislation in relation to the Shared Personal Data. In particular, [Party 2 
                  <bold>OR</bold>
                   each party] shall:
                </paratext>
              </para>
              <subclause2 id="a214202">
                <identifier>(a)</identifier>
                <para>
                  <paratext>
                    assist [Party 1 
                    <bold>OR</bold>
                     the other party], at the cost of [Party 2 
                    <bold>OR</bold>
                     the other party], in ensuring compliance with its obligations under the Data Protection Legislation with respect to security, personal data breach notifications, data protection impact assessments and consultations with supervisory authorities or regulators;
                  </paratext>
                </para>
              </subclause2>
              <subclause2 id="a268922">
                <identifier>(b)</identifier>
                <para>
                  <paratext>
                    notify [Party 1 
                    <bold>OR</bold>
                     the other party] without undue delay on becoming aware of any breach of the Data Protection Legislation;
                  </paratext>
                </para>
              </subclause2>
              <subclause2 id="a715383">
                <identifier>(c)</identifier>
                <para>
                  <paratext>use compatible technology for the processing of Shared Personal Data to ensure that there is no lack of accuracy resulting from personal data transfers; and</paratext>
                </para>
              </subclause2>
              <subclause2 id="a925239">
                <identifier>(d)</identifier>
                <para>
                  <paratext>
                    maintain complete and accurate records and information to demonstrate its compliance with this 
                    <internal.reference refid="a618032">
                      <ital>clause 5.2</ital>
                    </internal.reference>
                     [and allow for audits by [Party 1 
                    <bold>OR</bold>
                     the other party] or [Party 1's 
                    <bold>OR</bold>
                     the other party's] designated auditor].
                  </paratext>
                </para>
              </subclause2>
            </subclause1>
            <subclause1 condition="optional" id="a281113">
              <identifier>5.3</identifier>
              <para>
                <paratext>Party 1 shall comply with all the obligations imposed on a controller under the Data Protection Legislation in relation to the Shared Personal Data.</paratext>
              </para>
            </subclause1>
          </clause>
          <clause id="a919770">
            <identifier>6.</identifier>
            <head align="left" preservecase="true">
              <headtext>Mandatory disclosure</headtext>
            </head>
            <drafting.note id="a618355" jurisdiction="">
              <head align="left" preservecase="true">
                <headtext>Mandatory disclosure</headtext>
              </head>
              <division id="a000024" level="1">
                <para>
                  <paratext>
                    <internal.reference refid="a919770">
                      <ital>clause 6</ital>
                    </internal.reference>
                     recognises that in certain circumstances, the recipient may be required by law or a regulatory authority (such as HMRC) to disclose confidential information.
                  </paratext>
                </para>
                <para>
                  <paratext>While the courts are unlikely to look sympathetically on the discloser's claim for breach of contract where the recipient was required to make a disclosure, it is preferable that the confidentiality agreement expressly permits such disclosures.</paratext>
                </para>
                <para>
                  <paratext>
                    Also see 
                    <internal.reference refid="a760948">
                      <ital>Drafting note, Solicitors' regulatory obligations relating to use of NDAs</ital>
                    </internal.reference>
                    .
                  </paratext>
                </para>
              </division>
            </drafting.note>
            <subclause1 id="a207481">
              <identifier>6.1</identifier>
              <para>
                <paratext>
                  Subject to the provisions of this 
                  <internal.reference refid="a919770">
                    <ital>clause 6</ital>
                  </internal.reference>
                  , Party 2 may disclose Confidential Information to the minimum extent required by:
                </paratext>
              </para>
              <subclause2 id="a588119">
                <identifier>(a)</identifier>
                <para>
                  <paratext>an order of any court of competent jurisdiction or any regulatory, judicial, governmental or similar body or any taxation authority of competent jurisdiction;</paratext>
                </para>
              </subclause2>
              <subclause2 id="a323119">
                <identifier>(b)</identifier>
                <para>
                  <paratext>the rules of any listing authority or stock exchange on which its shares are listed or traded; or</paratext>
                </para>
              </subclause2>
              <subclause2 id="a656011">
                <identifier>(c)</identifier>
                <para>
                  <paratext>the laws or regulations of any country to which its affairs are subject.</paratext>
                </para>
              </subclause2>
            </subclause1>
            <subclause1 id="a408067">
              <identifier>6.2</identifier>
              <para>
                <paratext>
                  Before Party 2 discloses any Confidential Information pursuant to 
                  <internal.reference refid="a207481">
                    <ital>clause 6.1</ital>
                  </internal.reference>
                   it shall, to the extent permitted by law, give Party 1 as much notice of this disclosure as possible. Where notice of such disclosure is not prohibited and is given in accordance with 
                  <internal.reference refid="a408067">
                    <ital>clause 6.2</ital>
                  </internal.reference>
                  , Party 2 shall take into account Party 1's requests in relation to the content of this disclosure.
                </paratext>
              </para>
              <drafting.note id="a165785" jurisdiction="">
                <head align="left" preservecase="true">
                  <headtext>Notifying the other party</headtext>
                </head>
                <division id="a000025" level="1">
                  <para>
                    <paratext>While the discloser cannot prevent the recipient from making a required disclosure, it can attempt to retain a degree of control by requiring the recipient, where possible and practicable, to give it notice before making the disclosure, and, in addition, co-operate with the discloser to control the terms of the disclosure as far as practicable.</paratext>
                  </para>
                  <para>
                    <paratext>
                      This is not always possible. In some circumstances, the recipient may be prevented by law from notifying the discloser before a required disclosure is made. For example, where the disclosure obligation arises under the 
                      <link href="6-505-7413" style="ACTLinkPLCtoPLC">
                        <ital>Proceeds of Crime Act 2002</ital>
                      </link>
                      .
                    </paratext>
                  </para>
                  <para>
                    <paratext>
                      For a longer form version of this clause that sets out specific steps that the parties should take before the required disclosure is made, see 
                      <link href="8-107-5019#a666464" style="ACTLinkPLCtoPLC">
                        <ital>Standard document, Confidentiality agreement: corporate seller: acquisitions: clause 5.2</ital>
                      </link>
                      .
                    </paratext>
                  </para>
                </division>
              </drafting.note>
            </subclause1>
            <subclause1 id="a279254">
              <identifier>6.3</identifier>
              <para>
                <paratext>
                  If Party 2 is unable to inform Party 1 before Confidential Information is disclosed pursuant to 
                  <internal.reference refid="a207481">
                    <ital>clause 6.1</ital>
                  </internal.reference>
                   it shall, to the extent permitted by law, inform Party 1 of the full circumstances of the disclosure and the information that has been disclosed as soon as reasonably practicable after such disclosure has been made.
                </paratext>
              </para>
              <drafting.note id="a665504" jurisdiction="">
                <head align="left" preservecase="true">
                  <headtext>Notification after disclosure is made</headtext>
                </head>
                <division id="a000026" level="1">
                  <para>
                    <paratext>
                      As noted above, the recipient may be prevented by law from notifying the discloser before a required disclosure is made. However, this 
                      <internal.reference refid="a279254">
                        <ital>clause 6.3</ital>
                      </internal.reference>
                       will be useful if disclosure after the event is allowed.
                    </paratext>
                  </para>
                </division>
              </drafting.note>
            </subclause1>
          </clause>
          <clause id="a516279">
            <identifier>7.</identifier>
            <head align="left" preservecase="true">
              <headtext>Return or destruction of Confidential Information</headtext>
            </head>
            <drafting.note id="a994202" jurisdiction="">
              <head align="left" preservecase="true">
                <headtext>Return or destruction of confidential information</headtext>
              </head>
              <division id="a000027" level="1">
                <para>
                  <paratext>A clause requiring the return or destruction of confidential information on the discloser's request is common in most confidentiality agreements.</paratext>
                </para>
                <para>
                  <paratext>
                    In 
                    <link href="D-037-5381" style="ACTLinkPLCtoPLC">
                      <ital>Arthur J Gallagher (UK) Ltd and others v Skriptchenko and others [2016] EWHC 603 (QB)</ital>
                    </link>
                    , the High Court ordered an injunction for the defendant to destroy the applicant's confidential information which were stored on the defendants' devices (see 
                    <link href="2-628-3186" style="ACTLinkPLCtoPLC">
                      <ital>Legal update, High Court orders destruction of confidential information on defendants' computers</ital>
                    </link>
                    ). This decision may encourage the recipient to comply with such a clause as the courts have shown a willingness to grant an order for the destruction of confidential information. The presence of such a clause could also influence a court in favour of granting an order to destroy confidential information.
                  </paratext>
                </para>
                <division id="a246562" level="2">
                  <head align="left" preservecase="true">
                    <headtext>Personal data retention and deletion</headtext>
                  </head>
                  <para>
                    <paratext>
                      Specifically in relation to any personal data disclosed, the fifth data protection principle states that personal data processed for any purpose or purposes shall not be kept for longer than is necessary for that purpose or those purposes (
                      <ital>Article 5(e), GDPR</ital>
                      ) (see 
                      <link anchor="a604287" href="w-013-3757" style="ACTLinkPLCtoPLC">
                        <ital>Practice note, Overview of UK GDPR: Fifth data protection principle: storage limitation</ital>
                      </link>
                      ).
                    </paratext>
                  </para>
                  <para>
                    <paratext>For the purposes of this NDA we have assumed that we are dealing with organisations based solely in the UK which do not provide goods or services to EU data subjects or monitor their behaviour. For that reason, we refer to compliance with the DPA 2018 and UK GDPR only. This still means however that when the personal data shared is no longer needed for the purpose for which it was shared, the recipient should take steps to delete the shared personal data, subject to any statutory provisions to the contrary and to any archiving policies. Personal data contained electronically should be deleted and a formal note of the deletion should be sent once the need for sharing ceases. Paper records should be securely deleted, destroyed or returned to the discloser once the need for sharing ceases.</paratext>
                  </para>
                  <para>
                    <paratext>
                      For further information see 
                      <link href="w-014-8509" style="ACTLinkPLCtoPLC">
                        <ital>Standard document, Data retention policy (UK and EU)</ital>
                      </link>
                       and 
                      <link href="w-014-8024" style="ACTLinkPLCtoPLC">
                        <ital>Data retention policies (UK and EU): checklist</ital>
                      </link>
                      .
                    </paratext>
                  </para>
                  <para>
                    <paratext>
                      Controllers have certain obligations under the UK GDPR relating to data subject rights and must take steps to help facilitate the exercise of data subject rights, which include them being able to gain access to their personal data and exercise their rights, as applicable, of rectification, erasure, restriction and portability. For more information on such data subject rights, see 
                      <link href="w-024-3178" style="ACTLinkPLCtoPLC">
                        <ital>Practice note, Data subject rights (UK)</ital>
                      </link>
                      . For the purposes of this NDA, we have assumed that the parties are both based solely in the UK and do not provide goods or services to EU data subjects or monitor their behaviour. For that reason, only compliance with the DPA 2018 and UK GDPR will be required. For an EU version of the note, discussing the application of the EU GDPR, see 
                      <link href="w-006-7553" style="ACTLinkPLCtoPLC">
                        <ital>Practice note, Data Subject Rights Under the GDPR</ital>
                      </link>
                      .
                    </paratext>
                  </para>
                </division>
              </division>
            </drafting.note>
            <subclause1 id="a216382">
              <identifier>7.1</identifier>
              <para>
                <paratext>If so requested by Party 1 at any time by notice in writing to Party 2, Party 2 shall promptly:</paratext>
              </para>
              <subclause2 id="a601227">
                <identifier>(a)</identifier>
                <para>
                  <paratext>[destroy or] return to Party 1 all documents and materials (and any copies) containing, reflecting, incorporating or based on Party 1's Confidential Information;</paratext>
                </para>
                <drafting.note id="a170005" jurisdiction="">
                  <head align="left" preservecase="true">
                    <headtext>Destroy or return?</headtext>
                  </head>
                  <division id="a000028" level="1">
                    <para>
                      <paratext>A discloser may prefer that the recipient returns the confidential information, instead of destroying it. If so, delete the reference to "destroy" in this clause.</paratext>
                    </para>
                    <para>
                      <paratext>
                        Also consider what requirements there may be in relation to any personal data disclosed. See 
                        <internal.reference refid="a246562">
                          <ital>Drafting note, Personal data retention and deletion</ital>
                        </internal.reference>
                        .
                      </paratext>
                    </para>
                  </division>
                </drafting.note>
              </subclause2>
              <subclause2 id="a545167">
                <identifier>(b)</identifier>
                <para>
                  <paratext>erase all the Confidential Information from its computer and communications systems and devices used by it, or which is stored in electronic form; [and]</paratext>
                </para>
              </subclause2>
              <subclause2 condition="optional" id="a967398">
                <identifier>(c)</identifier>
                <para>
                  <paratext>[to the extent technically and legally practicable,] erase all the Confidential Information which is stored in electronic form on systems and data storage services provided by third parties; and</paratext>
                </para>
                <drafting.note id="a555297" jurisdiction="">
                  <head align="left" preservecase="true">
                    <headtext>Third party data storage (optional clause)</headtext>
                  </head>
                  <division id="a000029" level="1">
                    <para>
                      <paratext>The recipient's data may be held by a third party on a dispersed basis (that is, mixed with other people's information on the same server), or via "cloud" solutions, making the data mirrored in a number of locations.</paratext>
                    </para>
                    <para>
                      <paratext>
                        In this instance, the recipient may resist an absolute obligation to delete the confidential information from the third party's servers on grounds that it is technically impossible. If so, the discloser will have to decide if it is willing to permit the recipient to store information in this way. If it is willing to do so, 
                        <internal.reference refid="a967398">
                          <ital>clause 7.1(c)</ital>
                        </internal.reference>
                         includes optional wording to recognise that complete erasure may not be technically practicable. A possible exception to this is any personal data disclosed (see 
                        <internal.reference refid="a246562">
                          <ital>Drafting note, Personal data retention and deletion</ital>
                        </internal.reference>
                        ).
                      </paratext>
                    </para>
                  </division>
                </drafting.note>
              </subclause2>
              <subclause2 id="a867221">
                <identifier>(d)</identifier>
                <para>
                  <paratext>
                    certify in writing to Party 1 that it has complied with the requirements of this 
                    <internal.reference refid="a216382">
                      <ital>clause 7.1</ital>
                    </internal.reference>
                    .
                  </paratext>
                </para>
              </subclause2>
            </subclause1>
            <subclause1 id="a454601">
              <identifier>7.2</identifier>
              <para>
                <paratext>
                  Nothing in 
                  <internal.reference refid="a216382">
                    <ital>clause 7.1</ital>
                  </internal.reference>
                   shall require Party 2 to return or destroy any documents and materials containing or based on the Confidential Information that Party 2 is required to retain by applicable law, or to satisfy the requirements of a regulatory authority or body of competent jurisdiction or the rules of any listing authority or stock exchange, to which it is subject. The provisions of this agreement shall continue to apply to any documents and materials retained by Party 2 pursuant to this 
                  <internal.reference refid="a454601">
                    <ital>clause 7.2</ital>
                  </internal.reference>
                  .
                </paratext>
              </para>
              <drafting.note id="a425501" jurisdiction="">
                <head align="left" preservecase="true">
                  <headtext>Right to retain certain materials</headtext>
                </head>
                <division id="a000030" level="1">
                  <para>
                    <paratext>
                      <internal.reference refid="a454601">
                        <ital>Clause 7.2</ital>
                      </internal.reference>
                       ensures that the obligations in 
                      <internal.reference refid="a216382">
                        <ital>clause 7.1</ital>
                      </internal.reference>
                       do not extend to information that the recipient is required to retain by law or to satisfy the rules or regulations of a regulatory body or securities exchange with applicable jurisdiction.
                    </paratext>
                  </para>
                  <para>
                    <paratext>
                      Note that a recipient may want to extend the carve-out in 
                      <internal.reference refid="a454601">
                        <ital>clause 7.2</ital>
                      </internal.reference>
                       to information which it needs to retain for its own internal compliance or auditing procedures. For information on document retention and links to relevant materials, see 
                      <link href="w-036-4090" style="ACTLinkPLCtoPLC">
                        <ital>Records management toolkit (UK)</ital>
                      </link>
                      .
                    </paratext>
                  </para>
                </division>
              </drafting.note>
            </subclause1>
          </clause>
          <clause id="a938262">
            <identifier>8.</identifier>
            <head align="left" preservecase="true">
              <headtext>Reservation of rights and acknowledgement</headtext>
            </head>
            <drafting.note id="a1018700" jurisdiction="">
              <head align="left" preservecase="true">
                <headtext>Reservation of rights and acknowledgement</headtext>
              </head>
              <division id="a000031" level="1">
                <para>
                  <paratext>
                    <internal.reference refid="a938262">
                      <ital>clause 8</ital>
                    </internal.reference>
                     has three functions:
                  </paratext>
                </para>
                <list type="bulleted">
                  <list.item>
                    <para>
                      <paratext>The discloser reserves all its rights in its confidential information to avoid any doubt over ownership of the confidential information.</paratext>
                    </para>
                  </list.item>
                  <list.item>
                    <para>
                      <paratext>It prevents the recipient from establishing reliance on the confidential information.</paratext>
                    </para>
                  </list.item>
                  <list.item>
                    <para>
                      <paratext>It ensures that the discloser is not obliged to agree to further collaboration beyond the exchange of confidential information contemplated in this agreement.</paratext>
                    </para>
                  </list.item>
                </list>
              </division>
            </drafting.note>
            <subclause1 id="a298837">
              <identifier>8.1</identifier>
              <para>
                <paratext>Party 1 reserves all rights in its Confidential Information. The disclosure of Confidential Information by Party 1 to Party 2 does not give Party 2 or any other person any licence or other right in respect of any Confidential Information beyond the rights expressly set out in this agreement.</paratext>
              </para>
            </subclause1>
            <subclause1 id="a685955">
              <identifier>8.2</identifier>
              <para>
                <paratext>Except as expressly stated in this agreement, Party 1 makes no express or implied warranty or representation concerning its Confidential Information, including but not limited to the accuracy or completeness of the Confidential Information.</paratext>
              </para>
            </subclause1>
            <subclause1 id="a55757">
              <identifier>8.3</identifier>
              <para>
                <paratext>The disclosure of Confidential Information by Party 1 shall not form any offer by, or representation or warranty on the part of, Party 1 to enter into any further agreement with Party 2 [in relation to the Purpose or the development or supply of any products or services to which the Confidential Information relates to].</paratext>
              </para>
            </subclause1>
          </clause>
          <clause id="a864329">
            <identifier>9.</identifier>
            <head align="left" preservecase="true">
              <headtext>Indemnity</headtext>
            </head>
            <drafting.note id="a464897" jurisdiction="">
              <head align="left" preservecase="true">
                <headtext>Indemnity</headtext>
              </head>
              <division id="a000032" level="1">
                <para>
                  <paratext>An indemnity is an express obligation to compensate the beneficiary of the indemnity for some defined loss or damage arising from a particular cause, by making a monetary payment to the beneficiary.</paratext>
                </para>
                <para>
                  <paratext>
                    Indemnities may offer the indemnified party several potential advantages over a claim for breach of contract. In particular, if the indemnity is structured so as to give the indemnified party a claim for a debt, rather than breach of contract, the ordinary contractual rules of mitigation and remoteness of loss may not apply to the claim (
                    <link href="D-000-2759" style="ACTLinkPLCtoPLC">
                      <ital>Jervis v Harris [1996] Ch 195</ital>
                    </link>
                     and 
                    <ital>Royscott Commercial Leasing Ltd v Ismail (unreported), 29 April 1993 (Court of Appeal)</ital>
                    ).
                  </paratext>
                </para>
                <para>
                  <paratext>
                    Given the potential advantages of an indemnity claim over a claim for breach of contract, a discloser will sometimes seek an indemnity for any loss it suffers due to a breach of the terms of an NDA. However, the recipient will naturally resist the inclusion of an indemnity provision, on the basis that if there is a breach of the agreement, the discloser's proper recourse should be a claim for breach of contract. Whether the discloser is ultimately successful in securing an indemnity of the type in this clause will depend on several factors, including prevailing market conditions and the relative bargaining strength of the parties. Another point to bear in mind is the fact that any losses arising out of a breach of 
                    <internal.reference refid="a272658">
                      <ital>clause 5</ital>
                    </internal.reference>
                    <ital> </ital>
                    (Data protection)
                    <ital> </ital>
                    should be covered by this indemnity. For a specific indemnity covering only breaches of data protection legislation, see 
                    <link anchor="a387081" href="w-011-7560" style="ACTLinkPLCtoPLC">
                      <ital>Standard clause, Personal data sharing clauses (controller to controller, short-form) (UK): 1.5 Indemnity</ital>
                    </link>
                    .
                  </paratext>
                </para>
                <para>
                  <paratext>
                    The legal issues in this area are not straightforward. Indemnities must be drafted with care to ensure that they adequately cover the liability or anticipated liability. For general guidance on the key issues to consider when drafting an indemnity, see 
                    <link anchor="a324354" href="w-004-0860" style="ACTLinkPLCtoPLC">
                      <ital>Practice note, Contracts: indemnities: Drafting an indemnity</ital>
                    </link>
                    .
                  </paratext>
                </para>
                <para>
                  <paratext>For further consideration of the legal issues relating to indemnities, see:</paratext>
                </para>
                <list type="bulleted">
                  <list.item>
                    <para>
                      <paratext>
                        <link href="w-004-0860" style="ACTLinkPLCtoPLC">
                          <ital>Practice note, Contracts: indemnities</ital>
                        </link>
                        .
                      </paratext>
                    </para>
                  </list.item>
                  <list.item>
                    <para>
                      <paratext>
                        <link href="1-107-3797" style="ACTLinkPLCtoPLC">
                          <ital>Standard clause, Indemnity</ital>
                        </link>
                         and drafting notes.
                      </paratext>
                    </para>
                  </list.item>
                  <list.item>
                    <para>
                      <paratext>
                        <link anchor="a105278" href="w-014-1583" style="ACTLinkPLCtoPLC">
                          <ital>Practice note, Boilerplate: do I really need this clause and why?: Indemnity</ital>
                        </link>
                        .
                      </paratext>
                    </para>
                  </list.item>
                </list>
                <para>
                  <paratext>For further information on the remedies for breach of confidentiality obligations, see Practice notes:</paratext>
                </para>
                <list type="bulleted">
                  <list.item>
                    <para>
                      <paratext>
                        <link anchor="a896624" href="8-384-4456" style="ACTLinkPLCtoPLC">
                          <ital>Protecting confidential information: overview: Enforcement and remedies</ital>
                        </link>
                        .
                      </paratext>
                    </para>
                  </list.item>
                  <list.item>
                    <para>
                      <paratext>
                        <link anchor="a558842" href="0-107-4684" style="ACTLinkPLCtoPLC">
                          <ital>Confidentiality: acquisitions: Enforcing confidentiality obligations</ital>
                        </link>
                        .
                      </paratext>
                    </para>
                  </list.item>
                </list>
              </division>
            </drafting.note>
            <subclause1 id="a506570">
              <identifier>9.1</identifier>
              <para>
                <paratext>
                  Party 2 shall indemnify Party 1 [and each member of its Group (each an 
                  <defn.term>Indemnified Person</defn.term>
                  )] against all liabilities, costs, expenses, damages and losses (including but not limited to any direct, indirect or consequential losses, loss of profit, loss of reputation and all interest, penalties and legal costs (calculated on a full indemnity basis) and all other [reasonable] professional costs and expenses) suffered or incurred by [Party 1 
                  <bold>OR</bold>
                   each Indemnified Person] arising out of or in connection with any breach of this agreement by Party 2.
                </paratext>
              </para>
            </subclause1>
            <subclause1 id="a382287">
              <identifier>9.2</identifier>
              <para>
                <paratext>
                  If a payment due from Party 2 under 
                  <internal.reference refid="a506570">
                    <ital>clause 9.1</ital>
                  </internal.reference>
                   is subject to tax (whether by way of direct assessment or withholding at its source), [Party 1 
                  <bold>OR</bold>
                   the Indemnified Person] shall be entitled to receive from Party 2 such amount as shall ensure that the net receipt, after tax, of [Party 1 
                  <bold>OR</bold>
                   the Indemnified Person] in respect of the payment is the same as it would have been were the payment not subject to tax.
                </paratext>
              </para>
              <drafting.note id="a622060" jurisdiction="">
                <head align="left" preservecase="true">
                  <headtext>Gross up</headtext>
                </head>
                <division id="a000033" level="1">
                  <para>
                    <paratext>
                      <internal.reference refid="a382287">
                        <ital>clause 9.2</ital>
                      </internal.reference>
                       provides for the grossing-up of indemnity payments made by the recipient where the payment is subject to tax in the hands of the discloser.
                    </paratext>
                  </para>
                </division>
              </drafting.note>
            </subclause1>
          </clause>
          <clause id="a586020">
            <identifier>10.</identifier>
            <head align="left" preservecase="true">
              <headtext>Inadequacy of damages</headtext>
            </head>
            <drafting.note id="a647648" jurisdiction="">
              <head align="left" preservecase="true">
                <headtext>Inadequacy of damages</headtext>
              </head>
              <division id="a000034" level="1">
                <para>
                  <paratext>
                    <internal.reference refid="a586020">
                      <ital>clause 10</ital>
                    </internal.reference>
                     is a standard clause where the recipient acknowledges that damages alone would not be an adequate remedy for a breach of this agreement, and that the discloser is therefore entitled to seek other remedies such as equitable relief or specific performance.
                  </paratext>
                </para>
                <para>
                  <paratext>In practice, an injunction will be of limited usefulness as a remedy once confidential information has been disclosed or used in breach of a confidentiality undertaking. However, they are often the first choice of remedy if the discloser discovers the recipient's intention to misuse confidential information before the breach takes place.</paratext>
                </para>
                <para>
                  <paratext>As injunctions and orders for specific performance are discretionary, this clause aims to persuade a court to exercise its discretion in favour of the discloser by granting the relief sought. The value of such a clause is therefore debatable since the granting of equitable remedies is at the court's discretion.</paratext>
                </para>
                <para>
                  <paratext>For more information on the remedies and potential advantages and limitations of this type of clause, see:</paratext>
                </para>
                <list type="bulleted">
                  <list.item>
                    <para>
                      <paratext>
                        The drafting notes in 
                        <link href="5-107-3804" style="ACTLinkPLCtoPLC">
                          <ital>Standard clause, Inadequacy of damages</ital>
                        </link>
                        .
                      </paratext>
                    </para>
                  </list.item>
                  <list.item>
                    <para>
                      <paratext>
                        <link anchor="a318182" href="w-014-1583" style="ACTLinkPLCtoPLC">
                          <ital>Practice note, Boilerplate: do I really need this clause and why?: Inadequacy of damages</ital>
                        </link>
                        .
                      </paratext>
                    </para>
                  </list.item>
                </list>
                <division id="a000035" level="2">
                  <division id="a368396" level="3">
                    <head align="left" preservecase="true">
                      <headtext>Trade secrets and remedies</headtext>
                    </head>
                    <para>
                      <paratext>
                        The 
                        <link href="w-014-9127" style="ACTLinkPLCtoPLC">
                          <ital>Trade Secrets Regulations</ital>
                        </link>
                         for the protection of trade secrets implemented the 
                        <link href="w-015-1298" style="ACTLinkPLCtoPLC">
                          <ital>Trade Secrets Directive</ital>
                        </link>
                         in the UK. The Regulations provide a separate statutory regime for the protection of undisclosed know-how and business information (or trade secrets) against their unlawful acquisition, use and disclosure. The original aim of the Directive was to standardise diverging national laws in the EU on trade secret protection. Despite the fact the UK has now left the EU, the Trade Secrets Regulations have not been impacted. In relation to the remedies available for such unlawful acquisition, disclosure and use of trade secrets, the Trade Secrets Regulations seek to:
                      </paratext>
                    </para>
                    <para>
                      <paratext>Align infringement under the Trade Secrets Regulations with breach of the equitable doctrine of confidence.</paratext>
                    </para>
                    <para>
                      <paratext>Ensure that the remedies available for breach of confidence are also available following infringement under the Trade Secrets Regulations.</paratext>
                    </para>
                    <para>
                      <paratext>
                        For further detail on the remedies available under both the common law breach of confidence and the Trade Secrets Regulations, see 
                        <link href="w-021-1676" style="ACTLinkPLCtoPLC">
                          <ital>Practice note, Protecting trade secrets: overview</ital>
                        </link>
                        .
                      </paratext>
                    </para>
                    <para>
                      <paratext>
                        For general information on remedies of breach of confidentiality obligations, see 
                        <link anchor="a896624" href="8-384-4456" style="ACTLinkPLCtoPLC">
                          <ital>Practice note, Protecting confidential information: overview: Enforcement and remedies</ital>
                        </link>
                        .
                      </paratext>
                    </para>
                  </division>
                </division>
              </division>
            </drafting.note>
            <subclause1 id="a1011556">
              <para>
                <paratext>Without prejudice to any other rights or remedies that Party 1 may have, Party 2 acknowledges and agrees that damages alone would not be an adequate remedy for any breach of the terms of this agreement. Accordingly, Party 1 shall be entitled to the remedies of injunctions, specific performance or other equitable relief for any threatened or actual breach of this agreement by Party 2.</paratext>
              </para>
            </subclause1>
          </clause>
          <clause id="a297458">
            <identifier>11.</identifier>
            <head align="left" preservecase="true">
              <headtext>No obligation to continue discussions</headtext>
            </head>
            <subclause1 id="a480177">
              <para>
                <paratext>Nothing in this agreement shall impose an obligation on Party 1 to continue discussions or negotiations in connection with the Purpose, or an obligation on Party 1[, or any of its Group Companies,] to disclose any information (whether Confidential Information or otherwise) to Party 2.</paratext>
              </para>
            </subclause1>
          </clause>
          <clause id="a312109">
            <identifier>12.</identifier>
            <head align="left" preservecase="true">
              <headtext>Ending discussions and duration of confidentiality obligations</headtext>
            </head>
            <drafting.note id="a753896" jurisdiction="">
              <head align="left" preservecase="true">
                <headtext>Ending discussions and duration of confidentiality obligations</headtext>
              </head>
              <division id="a000036" level="1">
                <division id="a316469" level="2">
                  <head align="left" preservecase="true">
                    <headtext>Actively ending discussions</headtext>
                  </head>
                  <para>
                    <paratext>
                      <internal.reference refid="a259915">
                        <ital>Clause 12.1</ital>
                      </internal.reference>
                       enables the discloser to end discussions by written notice to the recipient.
                    </paratext>
                  </para>
                  <para>
                    <paratext>Parties will not always actively end discussions by giving such notice. It is more likely that if the parties are no longer interested in pursuing the purpose together, their discussions will gradually decrease before stopping altogether. But for completeness, the option to actively end discussions has been included should the discloser choose to end discussions this way. Other than the parties deciding not to proceed with the proposed commercial transaction together, there may be other possible reasons why a party wishes to terminate discussions. For example:</paratext>
                  </para>
                  <list type="bulleted">
                    <list.item>
                      <para>
                        <paratext>
                          If one party had reason to believe that the other party may be involved in bribery in breach of the BA 2010 (for more information, see 
                          <internal.reference refid="a62208">
                            <ital>Drafting note, Disclosure to the Serious Fraud office relating to Bribery Act 2010 offences</ital>
                          </internal.reference>
                          ).
                        </paratext>
                      </para>
                    </list.item>
                    <list.item>
                      <para>
                        <paratext>
                          If one party had reason to believe that the other party had breached its data protection obligations under the DPA 2018 (for more information, see 
                          <internal.reference refid="a986075">
                            <ital>Drafting note, Confidential information that is personal data</ital>
                          </internal.reference>
                          .
                        </paratext>
                      </para>
                    </list.item>
                  </list>
                </division>
                <division id="a968030" level="2">
                  <head align="left" preservecase="true">
                    <headtext>Duration of confidentiality obligations</headtext>
                  </head>
                  <para>
                    <paratext>
                      Regardless of whether or not the discussions are actively ended pursuant to 
                      <internal.reference refid="a259915">
                        <ital>clause 12.1</ital>
                      </internal.reference>
                      , 
                      <internal.reference refid="a371790">
                        <ital>clause 12.2</ital>
                      </internal.reference>
                       provides that the confidentiality obligations will last for two years from the date of the agreement. The duration of the confidentiality obligations is one for discussion between the parties, but it is fairly standard to have a term of between two to five years.
                    </paratext>
                  </para>
                  <para>
                    <paratext>There is no public policy constraint in relation to the duration of confidentiality undertakings. So it is theoretically possible to provide for the confidentiality obligations in the agreement to continue indefinitely. However, the courts are unlikely to uphold undertakings that relate to information that has lost its confidential character due to it becoming out of date or ceasing to have any commercial value. Parties would also be reluctant to accept an obligation with an open-ended term as this would require compliance-monitoring for an indefinite period.</paratext>
                  </para>
                  <para>
                    <paratext>While technical information can remain of commercial value almost indefinitely, business information may only remain valuable for a short time. Accordingly, the parties should set a realistic time period for the duration of the confidentiality obligations in this agreement by reference to the type of information being protected.</paratext>
                  </para>
                </division>
              </division>
            </drafting.note>
            <subclause1 id="a259915">
              <identifier>12.1</identifier>
              <para>
                <paratext>If Party 1 decides not to continue to be involved in the Purpose with Party 2, it shall notify Party 2 in writing immediately.</paratext>
              </para>
            </subclause1>
            <subclause1 id="a371790">
              <identifier>12.2</identifier>
              <para>
                <paratext>
                  Notwithstanding the end of discussions between the parties in relation to the Purpose pursuant to 
                  <internal.reference refid="a259915">
                    <ital>clause 12.1</ital>
                  </internal.reference>
                  , each party's obligations under this agreement shall continue in full force and effect for a period of [two] years from the date of this agreement.
                </paratext>
              </para>
            </subclause1>
            <subclause1 id="a316154">
              <identifier>12.3</identifier>
              <para>
                <paratext>The end of discussions relating to the Purpose shall not affect any accrued rights or remedies to which either party is entitled.</paratext>
              </para>
            </subclause1>
          </clause>
          <clause id="a77503">
            <identifier>13.</identifier>
            <head align="left" preservecase="true">
              <headtext>No partnership or agency</headtext>
            </head>
            <drafting.note id="a783348" jurisdiction="">
              <head align="left" preservecase="true">
                <headtext>No partnership or agency</headtext>
              </head>
              <division id="a000037" level="1">
                <para>
                  <paratext>The principal object of a no partnership or agency clause is to exclude the risk of an agreement creating an unwanted partnership or agency relationship between the parties. This could be particularly relevant in the context of a confidentiality agreement where the parties are still at a preliminary phase of a project. At such an early stage, these discussions may just be to gather information or to see if the parties are compatible to work together. As such, the parties will want to ensure that they do not inadvertently or unwillingly form some sort of unwanted alliance with the other.</paratext>
                </para>
                <para>
                  <paratext>For further information, see:</paratext>
                </para>
                <list type="bulleted">
                  <list.item>
                    <para>
                      <paratext>
                        The drafting notes in 
                        <link href="4-107-3814" style="ACTLinkPLCtoPLC">
                          <ital>Standard clause, No partnership or agency</ital>
                        </link>
                        .
                      </paratext>
                    </para>
                  </list.item>
                  <list.item>
                    <para>
                      <paratext>
                        <link anchor="a358774" href="w-014-1583" style="ACTLinkPLCtoPLC">
                          <ital>Practice note, Boilerplate: do I really need this clause and why?: No partnership or agency</ital>
                        </link>
                        .
                      </paratext>
                    </para>
                  </list.item>
                </list>
              </division>
            </drafting.note>
            <subclause1 id="a600888">
              <identifier>13.1</identifier>
              <para>
                <paratext>Nothing in this agreement is intended to, or shall be deemed to, establish any partnership or joint venture between the parties, constitute any party the agent of another party, or authorise any party to make or enter into any commitments for or on behalf of any other party.</paratext>
              </para>
            </subclause1>
            <subclause1 id="a970895">
              <identifier>13.2</identifier>
              <para>
                <paratext>Each party confirms it is acting on its own behalf and not for the benefit of any other person.</paratext>
              </para>
            </subclause1>
          </clause>
          <clause id="a797709">
            <identifier>14.</identifier>
            <head align="left" preservecase="true">
              <headtext>Assignment and other dealings</headtext>
            </head>
            <drafting.note id="a192919" jurisdiction="">
              <head align="left" preservecase="true">
                <headtext>Assignment and other dealings</headtext>
              </head>
              <division id="a000038" level="1">
                <para>
                  <paratext>
                    <internal.reference refid="a797709">
                      <ital>clause 14</ital>
                    </internal.reference>
                     assumes that the parties do not want each other to be able to assign or otherwise transfer their rights and obligations under the agreement.
                  </paratext>
                </para>
                <para>
                  <paratext>Alternative forms of this clause may include an option to transfer subject to the other party's prior written consent, or a carve-out for intra-group transfers.</paratext>
                </para>
                <para>
                  <paratext>For more detail, see:</paratext>
                </para>
                <list type="bulleted">
                  <list.item>
                    <para>
                      <paratext>
                        The drafting notes in 
                        <link href="5-107-3823" style="ACTLinkPLCtoPLC">
                          <ital>Standard clause, Assignment and other dealings</ital>
                        </link>
                        .
                      </paratext>
                    </para>
                  </list.item>
                  <list.item>
                    <para>
                      <paratext>
                        <link anchor="a120126" href="w-014-1583" style="ACTLinkPLCtoPLC">
                          <ital>Practice note, Boilerplate: do I really need this clause and why?: Assignment and other dealings</ital>
                        </link>
                        .
                      </paratext>
                    </para>
                  </list.item>
                </list>
              </division>
            </drafting.note>
            <subclause1 id="a686322">
              <para>
                <paratext>Neither party shall assign, transfer, mortgage, charge, subcontract, declare a trust over or deal in any other manner with any of its rights and obligations under this agreement.</paratext>
              </para>
            </subclause1>
          </clause>
          <clause id="a829753">
            <identifier>15.</identifier>
            <head align="left" preservecase="true">
              <headtext>Entire agreement</headtext>
            </head>
            <drafting.note id="a761303" jurisdiction="">
              <head align="left" preservecase="true">
                <headtext>Entire agreement</headtext>
              </head>
              <division id="a000039" level="1">
                <para>
                  <paratext>For information on entire agreement clauses, see:</paratext>
                </para>
                <list type="bulleted">
                  <list.item>
                    <para>
                      <paratext>
                        The drafting notes in 
                        <link href="2-107-3834" style="ACTLinkPLCtoPLC">
                          <ital>Standard clause, Entire agreement</ital>
                        </link>
                        .
                      </paratext>
                    </para>
                  </list.item>
                  <list.item>
                    <para>
                      <paratext>
                        <link anchor="a102696" href="w-014-1583" style="ACTLinkPLCtoPLC">
                          <ital>Practice note, Boilerplate: do I really need this clause and why?: Entire agreement</ital>
                        </link>
                        .
                      </paratext>
                    </para>
                  </list.item>
                </list>
              </division>
            </drafting.note>
            <subclause1 id="a96787">
              <identifier>15.1</identifier>
              <para>
                <paratext>This agreement constitutes the entire agreement between the parties.</paratext>
              </para>
            </subclause1>
            <subclause1 id="a426811">
              <identifier>15.2</identifier>
              <para>
                <paratext>Each party acknowledges that in entering into this agreement it does not rely on any statement, representation, assurance or warranty (whether made innocently or negligently) that is not set out in this agreement. Each party agrees that it has no claim for innocent or negligent misrepresentation [or negligent misstatement] based on any statement in this agreement.</paratext>
              </para>
            </subclause1>
          </clause>
          <clause id="a508996">
            <identifier>16.</identifier>
            <head align="left" preservecase="true">
              <headtext>Variation</headtext>
            </head>
            <drafting.note id="a246008" jurisdiction="">
              <head align="left" preservecase="true">
                <headtext>Variation</headtext>
              </head>
              <division id="a000040" level="1">
                <para>
                  <paratext>For information on variation clauses, see:</paratext>
                </para>
                <list type="bulleted">
                  <list.item>
                    <para>
                      <paratext>
                        The drafting notes in 
                        <link href="3-107-3838" style="ACTLinkPLCtoPLC">
                          <ital>Standard clause, Variation</ital>
                        </link>
                        .
                      </paratext>
                    </para>
                  </list.item>
                  <list.item>
                    <para>
                      <paratext>
                        <link anchor="a436667" href="w-014-1583" style="ACTLinkPLCtoPLC">
                          <ital>Practice note, Boilerplate: do I really need this clause and why?: Variation</ital>
                        </link>
                        .
                      </paratext>
                    </para>
                  </list.item>
                </list>
              </division>
            </drafting.note>
            <subclause1 id="a862276">
              <para>
                <paratext>No variation of this agreement shall be effective unless it is in writing and signed by the parties (or their authorised representatives).</paratext>
              </para>
            </subclause1>
          </clause>
          <clause id="a199238">
            <identifier>17.</identifier>
            <head align="left" preservecase="true">
              <headtext>Waiver</headtext>
            </head>
            <drafting.note id="a359458" jurisdiction="">
              <head align="left" preservecase="true">
                <headtext>Waiver</headtext>
              </head>
              <division id="a000041" level="1">
                <para>
                  <paratext>For information on waiver clauses, see:</paratext>
                </para>
                <list type="bulleted">
                  <list.item>
                    <para>
                      <paratext>
                        The drafting notes in 
                        <link href="0-107-3806" style="ACTLinkPLCtoPLC">
                          <ital>Standard clause, Waiver</ital>
                        </link>
                        .
                      </paratext>
                    </para>
                  </list.item>
                  <list.item>
                    <para>
                      <paratext>
                        <link anchor="a947318" href="w-014-1583" style="ACTLinkPLCtoPLC">
                          <ital>Practice note, Boilerplate: do I really need this clause and why?: Waiver</ital>
                        </link>
                        .
                      </paratext>
                    </para>
                  </list.item>
                </list>
              </division>
            </drafting.note>
            <subclause1 id="a281983">
              <identifier>17.1</identifier>
              <para>
                <paratext>A waiver of any right or remedy is only effective if given in writing [and shall not be deemed a waiver of any subsequent right or remedy].</paratext>
              </para>
            </subclause1>
            <subclause1 id="a108000">
              <identifier>17.2</identifier>
              <para>
                <paratext>A delay or failure to exercise, or the single or partial exercise of, any right or remedy does not waive that or any other right or remedy, nor does it prevent or restrict the further exercise of that or any other right or remedy.</paratext>
              </para>
            </subclause1>
          </clause>
          <clause id="a423546">
            <identifier>18.</identifier>
            <head align="left" preservecase="true">
              <headtext>Severance</headtext>
            </head>
            <drafting.note id="a564677" jurisdiction="">
              <head align="left" preservecase="true">
                <headtext>Severance</headtext>
              </head>
              <division id="a000042" level="1">
                <para>
                  <paratext>This severance clause includes an obligation on the parties to negotiate in good faith to amend the clause to make it enforceable.</paratext>
                </para>
                <para>
                  <paratext>For alternative drafting options and information on severance clauses, see:</paratext>
                </para>
                <list type="bulleted">
                  <list.item>
                    <para>
                      <paratext>
                        The drafting notes in 
                        <link href="9-107-3840" style="ACTLinkPLCtoPLC">
                          <ital>Standard clause, Severance</ital>
                        </link>
                        .
                      </paratext>
                    </para>
                  </list.item>
                  <list.item>
                    <para>
                      <paratext>
                        <link anchor="a117161" href="w-014-1583" style="ACTLinkPLCtoPLC">
                          <ital>Practice not, Boilerplate: do I really need this clause and why?: Severance</ital>
                        </link>
                        .
                      </paratext>
                    </para>
                  </list.item>
                </list>
              </division>
            </drafting.note>
            <subclause1 id="a466160">
              <identifier>18.1</identifier>
              <para>
                <paratext>If any provision or part-provision of this agreement is or becomes invalid, illegal or unenforceable, it shall be deemed delete, but that shall not affect the validity and enforceability of the rest of this agreement.</paratext>
              </para>
            </subclause1>
            <subclause1 id="a382439">
              <identifier>18.2</identifier>
              <para>
                <paratext>
                  If any provision or part-provision of this agreement is deemed deleted under 
                  <internal.reference refid="a466160">
                    <ital>clause 18.1</ital>
                  </internal.reference>
                  , the parties shall negotiate in good faith to agree a replacement provision that, to the greatest extent possible, achieves the intended commercial result of the original provision.
                </paratext>
              </para>
            </subclause1>
          </clause>
          <clause id="a427777">
            <identifier>19.</identifier>
            <head align="left" preservecase="true">
              <headtext>Notices</headtext>
            </head>
            <drafting.note id="a313251" jurisdiction="">
              <head align="left" preservecase="true">
                <headtext>Notices</headtext>
              </head>
              <division id="a000043" level="1">
                <para>
                  <paratext>
                    <internal.reference refid="a427777">
                      <ital>clause 19</ital>
                    </internal.reference>
                     provides the option for notice to be given by email. If including this option, see also 
                    <internal.reference refid="a866668">
                      <ital>clause 1.4</ital>
                    </internal.reference>
                     relating to "writing" and "written", and make sure the two provisions are consistent.
                  </paratext>
                </para>
                <para>
                  <paratext>For information on notice clauses, see:</paratext>
                </para>
                <list type="bulleted">
                  <list.item>
                    <para>
                      <paratext>
                        The drafting notes in 
                        <link href="5-107-3842" style="ACTLinkPLCtoPLC">
                          <ital>Standard clause, Notices</ital>
                        </link>
                        .
                      </paratext>
                    </para>
                  </list.item>
                  <list.item>
                    <para>
                      <paratext>
                        <link href="3-107-3843" style="ACTLinkPLCtoPLC">
                          <ital>Practice note, Notice clauses</ital>
                        </link>
                        .
                      </paratext>
                    </para>
                  </list.item>
                  <list.item>
                    <para>
                      <paratext>
                        <link anchor="a616007" href="w-014-1583" style="ACTLinkPLCtoPLC">
                          <ital>Practice note, Boilerplate: do I really need this clause and why?: Notices</ital>
                        </link>
                        .
                      </paratext>
                    </para>
                  </list.item>
                </list>
              </division>
            </drafting.note>
            <subclause1 id="a440732">
              <identifier>19.1</identifier>
              <para>
                <paratext>Any notice given to a party under or in connection with this agreement shall be in writing and shall be:</paratext>
              </para>
              <subclause2 id="a941565">
                <identifier>(a)</identifier>
                <para>
                  <paratext>delivered by hand or by pre-paid first-class post or other next working day delivery service at its registered office (if a company) or its principal place of business (in any other case)[; or]</paratext>
                </para>
              </subclause2>
              <subclause2 condition="optional" id="a823037">
                <identifier>(b)</identifier>
                <para>
                  <paratext>sent by email to the following addresses (or an address substituted in writing by the party to be served):</paratext>
                </para>
                <para>
                  <paratext>Party 1: [ADDRESS].</paratext>
                </para>
                <para>
                  <paratext>Party 2: [ADDRESS].</paratext>
                </para>
              </subclause2>
            </subclause1>
            <subclause1 id="a461471">
              <identifier>19.2</identifier>
              <para>
                <paratext>Any notice shall be deemed to have been received:</paratext>
              </para>
              <subclause2 id="a698844">
                <identifier>(a)</identifier>
                <para>
                  <paratext>if delivered by hand, at the time the notice is left at the proper address; [or]</paratext>
                </para>
              </subclause2>
              <subclause2 id="a902841">
                <identifier>(b)</identifier>
                <para>
                  <paratext>if sent by [pre-paid first-class post or other] next working day delivery service, at [9.00 am] on the [second] Business Day after posting[; or]</paratext>
                </para>
              </subclause2>
              <subclause2 condition="optional" id="a821335">
                <identifier>(c)</identifier>
                <para>
                  <paratext>if sent by email, at the time of transmission, or, if this time falls outside Business Hours in the place of receipt, when Business Hours resume.</paratext>
                </para>
              </subclause2>
            </subclause1>
            <subclause1 id="a767817">
              <identifier>19.3</identifier>
              <para>
                <paratext>This clause does not apply to the service of any proceedings or other documents in any legal action or, where applicable, any arbitration or other method of dispute resolution.</paratext>
              </para>
            </subclause1>
            <subclause1 condition="optional" id="a984877">
              <identifier>19.4</identifier>
              <para>
                <paratext>A notice given under this agreement is not valid if sent by email.</paratext>
              </para>
            </subclause1>
          </clause>
          <clause id="a472459">
            <identifier>20.</identifier>
            <head align="left" preservecase="true">
              <headtext>Third party rights</headtext>
            </head>
            <drafting.note id="a168314" jurisdiction="">
              <head align="left" preservecase="true">
                <headtext>Third party rights</headtext>
              </head>
              <division id="a000044" level="1">
                <para>
                  <paratext>For information on third party rights clauses, see:</paratext>
                </para>
                <list type="bulleted">
                  <list.item>
                    <para>
                      <paratext>
                        The drafting notes to 
                        <link href="6-107-3846" style="ACTLinkPLCtoPLC">
                          <ital>Standard clause, Third party rights</ital>
                        </link>
                        .
                      </paratext>
                    </para>
                  </list.item>
                  <list.item>
                    <para>
                      <paratext>
                        <link href="8-380-8057" style="ACTLinkPLCtoPLC">
                          <ital>Practice note, Contracts: privity and third party rights and obligations</ital>
                        </link>
                        .
                      </paratext>
                    </para>
                  </list.item>
                  <list.item>
                    <para>
                      <paratext>
                        <link anchor="a867788" href="w-014-1583" style="ACTLinkPLCtoPLC">
                          <ital>Practice note, Boilerplate: do I really need this clause and why?: Third party rights</ital>
                        </link>
                        .
                      </paratext>
                    </para>
                  </list.item>
                </list>
              </division>
            </drafting.note>
            <subclause1 id="a615931">
              <identifier>20.1</identifier>
              <para>
                <paratext>
                  [Unless it expressly states otherwise, this 
                  <bold>OR</bold>
                   This] agreement does not give rise to any rights under the Contracts (Rights of Third Parties) Act 1999 to enforce any term of this agreement.
                </paratext>
              </para>
            </subclause1>
            <subclause1 condition="optional" id="a270842">
              <identifier>20.2</identifier>
              <para>
                <paratext>The rights of the parties to rescind or vary this agreement are not subject to the consent of any other person.</paratext>
              </para>
            </subclause1>
          </clause>
          <clause id="a415007">
            <identifier>21.</identifier>
            <head align="left" preservecase="true">
              <headtext>Governing law</headtext>
            </head>
            <drafting.note id="a103260" jurisdiction="">
              <head align="left" preservecase="true">
                <headtext>Governing law</headtext>
              </head>
              <division id="a000045" level="1">
                <para>
                  <paratext>For information on governing law clauses, see:</paratext>
                </para>
                <list type="bulleted">
                  <list.item>
                    <para>
                      <paratext>
                        The drafting notes in 
                        <link href="8-107-3850" style="ACTLinkPLCtoPLC">
                          <ital>Standard clause, Governing law</ital>
                        </link>
                        .
                      </paratext>
                    </para>
                  </list.item>
                  <list.item>
                    <para>
                      <paratext>
                        <link href="4-107-3852" style="ACTLinkPLCtoPLC">
                          <ital>Practice note, Governing law and jurisdiction clauses</ital>
                        </link>
                        .
                      </paratext>
                    </para>
                  </list.item>
                  <list.item>
                    <para>
                      <paratext>
                        <link anchor="a742310" href="w-014-1583" style="ACTLinkPLCtoPLC">
                          <ital>Practice note, Boilerplate: do I really need this clause and why?: Governing law</ital>
                        </link>
                        .
                      </paratext>
                    </para>
                  </list.item>
                </list>
                <division id="a000046" level="2">
                  <division id="a1030812" level="3">
                    <head align="left" preservecase="true">
                      <headtext>Uniformity of governing law and jurisdiction clauses in subsequent agreements</headtext>
                    </head>
                    <para>
                      <paratext>
                        See 
                        <internal.reference refid="a542472">
                          <ital>Drafting note, Jurisdiction</ital>
                        </internal.reference>
                         below.
                      </paratext>
                    </para>
                  </division>
                </division>
              </division>
            </drafting.note>
            <subclause1 id="a800158">
              <para>
                <paratext>This agreement and any dispute or claim (including non-contractual disputes or claims) arising out of or in connection with it or its subject matter or formation shall be governed by and construed in accordance with the law of England and Wales.</paratext>
              </para>
            </subclause1>
          </clause>
          <clause id="a852941">
            <identifier>22.</identifier>
            <head align="left" preservecase="true">
              <headtext>Jurisdiction</headtext>
            </head>
            <drafting.note id="a542472" jurisdiction="">
              <head align="left" preservecase="true">
                <headtext>Jurisdiction</headtext>
              </head>
              <division id="a000047" level="1">
                <para>
                  <paratext>For information on jurisdiction clauses, see:</paratext>
                </para>
                <list type="bulleted">
                  <list.item>
                    <para>
                      <paratext>
                        The drafting notes in 
                        <link href="9-522-6848" style="ACTLinkPLCtoPLC">
                          <ital>Standard clause, Jurisdiction</ital>
                        </link>
                        .
                      </paratext>
                    </para>
                  </list.item>
                  <list.item>
                    <para>
                      <paratext>
                        <link href="4-107-3852" style="ACTLinkPLCtoPLC">
                          <ital>Practice note, Governing law and jurisdiction clauses</ital>
                        </link>
                        .
                      </paratext>
                    </para>
                  </list.item>
                  <list.item>
                    <para>
                      <paratext>
                        <link anchor="a783056" href="w-014-1583" style="ACTLinkPLCtoPLC">
                          <ital>Practice note, Boilerplate: do I really need this clause and why?: Jurisdiction</ital>
                        </link>
                         and 
                        <link anchor="a997113" href="w-014-1583" style="ACTLinkPLCtoPLC">
                          <ital>Service of process</ital>
                        </link>
                        .
                      </paratext>
                    </para>
                  </list.item>
                </list>
                <division id="a000048" level="2">
                  <division id="a113731" level="3">
                    <head align="left" preservecase="true">
                      <headtext>Uniformity of governing law and jurisdiction clauses in subsequent agreements</headtext>
                    </head>
                    <para>
                      <paratext>A confidentiality agreement is normally a prelude to further agreements between the parties. For example, the parties may end up signing a services agreement after their discussions pursuant to a confidentiality agreement. Consideration should therefore be given to the governing law of any (prospective) subsequent agreements as well. From a commercial perspective, it would be preferable to ensure that the governing law and jurisdiction clauses across a suite of related agreements are the same. This would minimise the risk of a party subsequently having to defend claims relating to the same transaction across different jurisdictions.</paratext>
                    </para>
                  </division>
                </division>
              </division>
            </drafting.note>
            <subclause1 id="a774170">
              <para>
                <paratext>Each party irrevocably agrees that the courts of England and Wales shall have exclusive jurisdiction to settle any dispute or claim (including non-contractual disputes or claims) arising out of or in connection with this agreement or its subject matter or formation.</paratext>
              </para>
            </subclause1>
          </clause>
        </operative>
        <testimonium default="true" wording="contract">
          <para>
            <paratext>This agreement has been entered into on the date stated at the beginning of it.</paratext>
          </para>
        </testimonium>
        <signature default="true" pagebreak="true" signaturemessage="no">
          <para>
            <paratext>
              <table frame="none" pgwide="1">
                <tgroup cols="3">
                  <colspec colname="1" colnum="1" colwidth="33"/>
                  <colspec colname="2" colnum="2" colwidth="33"/>
                  <colspec colname="3" colnum="3" colwidth="33"/>
                  <tbody>
                    <row>
                      <entry valign="top">
                        <para align="left">
                          <paratext>Signed by [NAME OF DIRECTOR] for and on behalf of [NAME OF PARTY 1]</paratext>
                        </para>
                      </entry>
                      <entry valign="top">
                        <para>
                          <paratext/>
                        </para>
                      </entry>
                      <entry valign="top">
                        <para align="left">
                          <paratext>....................</paratext>
                        </para>
                        <para align="left">
                          <paratext>Director</paratext>
                        </para>
                      </entry>
                    </row>
                    <row>
                      <entry valign="top">
                        <para align="left">
                          <paratext>Signed by [NAME OF DIRECTOR] for and on behalf of [NAME OF PARTY 2]</paratext>
                        </para>
                      </entry>
                      <entry valign="top">
                        <para>
                          <paratext/>
                        </para>
                      </entry>
                      <entry valign="top">
                        <para align="left">
                          <paratext>....................</paratext>
                        </para>
                        <para align="left">
                          <paratext>Director</paratext>
                        </para>
                      </entry>
                    </row>
                  </tbody>
                </tgroup>
              </table>
            </paratext>
          </para>
        </signature>
      </body>
      <rev.history>
        <rev.item>
          <rev.title>AI and machine learning (January 2025)</rev.title>
          <rev.date>20250113</rev.date>
          <rev.author>PL Commercial</rev.author>
          <rev.body>
            <division id="a000001" level="1">
              <para>
                <paratext>
                  We have included new 
                  <internal.reference refid="a755818">
                    <ital>clause 3.1(g)</ital>
                  </internal.reference>
                   which provides for two possible approaches to the recipient’s potential use of AI and machine learning and how this interfaces with the need to protect the confidential information disclosed.
                </paratext>
              </para>
            </division>
          </rev.body>
        </rev.item>
        <rev.item>
          <rev.title>Solicitors' regulatory obligations relating to the use of NDAs (October 2024)</rev.title>
          <rev.date>20241016</rev.date>
          <rev.author>PL Commercial</rev.author>
          <rev.body>
            <division id="a000002" level="1">
              <para>
                <paratext>
                  We have inserted new 
                  <internal.reference refid="a760948">
                    <ital>Drafting note, Solicitors' regulatory obligations relating to use of NDAs</ital>
                  </internal.reference>
                   to remind subscribers of the Solicitors Regulation Authority (SRA)'s 
                  <link href="https://www.sra.org.uk/solicitors/guidance/non-disclosure-agreements-ndas/" style="ACTLinkURL">
                    <ital>warning notice</ital>
                  </link>
                   (Warning Notice) on the use of NDAs which was updated in August 2024, and provides a reminder of some of the key issues and risks associated with negotiating, drafting, advising on, enforcing or being a party to any NDA, including those used in commercial transactions.
                </paratext>
              </para>
            </division>
          </rev.body>
        </rev.item>
      </rev.history>
    </standard.doc>
  </n-docbody>
</n-document>
</file>

<file path=customXml/item3.xml><?xml version="1.0" encoding="utf-8"?>
<tns:customPropertyEditors xmlns:tns="http://schemas.microsoft.com/office/2006/customDocumentInformationPanel">
  <tns:showOnOpen>false</tns:showOnOpen>
  <tns:defaultPropertyEditorNamespace>Standard properties</tns:defaultPropertyEditorNamespace>
</tns:customPropertyEditors>
</file>

<file path=customXml/item4.xml><?xml version="1.0" encoding="utf-8"?>
<cdm:cachedDataManifest xmlns:cdm="http://schemas.microsoft.com/2004/VisualStudio/Tools/Applications/CachedDataManifest.xsd" cdm:revision="1"/>
</file>

<file path=customXml/itemProps1.xml><?xml version="1.0" encoding="utf-8"?>
<ds:datastoreItem xmlns:ds="http://schemas.openxmlformats.org/officeDocument/2006/customXml" ds:itemID="{33843C0A-C4BF-4570-92FC-185AB0F9AFA8}">
  <ds:schemaRefs>
    <ds:schemaRef ds:uri="http://schemas.openxmlformats.org/wordprocessingml/2006/main"/>
    <ds:schemaRef ds:uri="http://schemas.microsoft.com/office/word/2012/wordml"/>
    <ds:schemaRef ds:uri="http://schemas.openxmlformats.org/officeDocument/2006/relationships"/>
    <ds:schemaRef ds:uri="http://schemas.openxmlformats.org/officeDocument/2006/math"/>
    <ds:schemaRef ds:uri="http://schemas.microsoft.com/office/word/2010/wordml"/>
    <ds:schemaRef ds:uri="http://schemas.openxmlformats.org/drawingml/2006/wordprocessingDrawing"/>
    <ds:schemaRef ds:uri="http://schemas.openxmlformats.org/drawingml/2006/main"/>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2.xml><?xml version="1.0" encoding="utf-8"?>
<ds:datastoreItem xmlns:ds="http://schemas.openxmlformats.org/officeDocument/2006/customXml" ds:itemID="{7D268DDC-65F2-46AD-BABC-FEF9A4333E15}">
  <ds:schemaRefs>
    <ds:schemaRef ds:uri="http://www.w3.org/2001/XMLSchema"/>
  </ds:schemaRefs>
</ds:datastoreItem>
</file>

<file path=customXml/itemProps3.xml><?xml version="1.0" encoding="utf-8"?>
<ds:datastoreItem xmlns:ds="http://schemas.openxmlformats.org/officeDocument/2006/customXml" ds:itemID="{BD442842-C8DD-4A40-BF32-AB1FA25950AC}">
  <ds:schemaRefs>
    <ds:schemaRef ds:uri="http://schemas.microsoft.com/office/2006/customDocumentInformationPanel"/>
  </ds:schemaRefs>
</ds:datastoreItem>
</file>

<file path=customXml/itemProps4.xml><?xml version="1.0" encoding="utf-8"?>
<ds:datastoreItem xmlns:ds="http://schemas.openxmlformats.org/officeDocument/2006/customXml" ds:itemID="{A2DC01D0-0D15-41DA-BEE5-B0F5E8C7F460}">
  <ds:schemaRefs>
    <ds:schemaRef ds:uri="http://schemas.microsoft.com/2004/VisualStudio/Tools/Applications/CachedDataManifest.xs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786</Words>
  <Characters>4382</Characters>
  <Application>Microsoft Office Word</Application>
  <DocSecurity>0</DocSecurity>
  <Lines>109</Lines>
  <Paragraphs>71</Paragraphs>
  <ScaleCrop>false</ScaleCrop>
  <Company/>
  <LinksUpToDate>false</LinksUpToDate>
  <CharactersWithSpaces>5097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2026-09-22T08:18:00Z</dcterms:created>
  <dcterms:modified xsi:type="dcterms:W3CDTF">2026-09-22T08:18:00Z</dcterms:modified>
</cp:coreProperties>
</file>